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Financial Fact Book / Locked-Box-Mechanismus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Erstellt:</w:t>
      </w:r>
      <w:r>
        <w:t xml:space="preserve"> 15. Januar 2026 (aktualisiert 20.02.2026)</w:t>
      </w:r>
    </w:p>
    <w:p>
      <w:pPr>
        <w:jc w:val="left"/>
      </w:pPr>
      <w:r>
        <w:rPr>
          <w:b/>
        </w:rPr>
        <w:t>Berater Financial:</w:t>
      </w:r>
      <w:r>
        <w:t xml:space="preserve"> KPMG Advisory GmbH, München — Partner Dipl.-Kfm. Stefan Grabinger</w:t>
      </w:r>
    </w:p>
    <w:p/>
    <w:p>
      <w:pPr>
        <w:pStyle w:val="Heading2"/>
      </w:pPr>
      <w:r>
        <w:rPr>
          <w:rFonts w:ascii="Times New Roman" w:hAnsi="Times New Roman"/>
        </w:rPr>
        <w:t>1. Kaufpreismechanismus: Locked-Box vs. Completion Accounts</w:t>
      </w:r>
    </w:p>
    <w:p>
      <w:pPr>
        <w:pStyle w:val="Heading3"/>
      </w:pPr>
      <w:r>
        <w:rPr>
          <w:rFonts w:ascii="Times New Roman" w:hAnsi="Times New Roman"/>
        </w:rPr>
        <w:t>Verkäuferposition (Reinhard Pellbach-Wittfeldt / Schwingenstein und Partner)</w:t>
      </w:r>
    </w:p>
    <w:p>
      <w:pPr>
        <w:jc w:val="left"/>
      </w:pPr>
      <w:r>
        <w:t xml:space="preserve">Klares Plädoyer für </w:t>
      </w:r>
      <w:r>
        <w:rPr>
          <w:b/>
        </w:rPr>
        <w:t>Locked-Box-Mechanismus</w:t>
      </w:r>
      <w:r>
        <w:t xml:space="preserve"> per Stichtag </w:t>
      </w:r>
      <w:r>
        <w:rPr>
          <w:b/>
        </w:rPr>
        <w:t>31. Dezember 2024</w:t>
      </w:r>
      <w:r>
        <w:t xml:space="preserve"> (geprüfter HGB-Abschluss liegt vor; Abschlussprüfer BDO Passau). Vorteile für Verkäufer: Preissicherheit, keine Completion Accounts-Streitigkeiten post-Closing.</w:t>
      </w:r>
    </w:p>
    <w:p>
      <w:pPr>
        <w:pStyle w:val="Heading3"/>
      </w:pPr>
      <w:r>
        <w:rPr>
          <w:rFonts w:ascii="Times New Roman" w:hAnsi="Times New Roman"/>
        </w:rPr>
        <w:t>Käuferposition (Steinheim Capital Partners)</w:t>
      </w:r>
    </w:p>
    <w:p>
      <w:pPr>
        <w:jc w:val="left"/>
      </w:pPr>
      <w:r>
        <w:t xml:space="preserve">Steinheim besteht zunächst auf </w:t>
      </w:r>
      <w:r>
        <w:rPr>
          <w:b/>
        </w:rPr>
        <w:t>Completion Accounts</w:t>
      </w:r>
      <w:r>
        <w:t xml:space="preserve"> mit Referenz-Working-Capital-Mechanismus. Begründung: China-Exposure (Suzhou) und Working-Capital-Saisonalität (Automotive-Abrufverträge Q4 volatil). Verhandlung offen.</w:t>
      </w:r>
    </w:p>
    <w:p>
      <w:pPr>
        <w:pStyle w:val="Heading3"/>
      </w:pPr>
      <w:r>
        <w:rPr>
          <w:rFonts w:ascii="Times New Roman" w:hAnsi="Times New Roman"/>
        </w:rPr>
        <w:t>Annegret Pellbach-Roosendaal (Minderheitsgesellschafterin Komplementär-GmbH)</w:t>
      </w:r>
    </w:p>
    <w:p>
      <w:pPr>
        <w:jc w:val="left"/>
      </w:pPr>
      <w:r>
        <w:t>Schlägt sich auf Seite Steinheim (Completion Accounts), da sie sich bei Locked-Box benachteiligt sieht: Herauslösung Rinner-Bereich nicht im Locked-Box-Datum abgebildet. Mediationsgespräch am 14.04.2026.</w:t>
      </w:r>
    </w:p>
    <w:p/>
    <w:p>
      <w:pPr>
        <w:pStyle w:val="Heading2"/>
      </w:pPr>
      <w:r>
        <w:rPr>
          <w:rFonts w:ascii="Times New Roman" w:hAnsi="Times New Roman"/>
        </w:rPr>
        <w:t>2. Locked-Box-Kennzahlen (31.12.2024, HGB, geprüft)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(Mio. 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Enterprise Value (vereinbart, 7x EBITDA bereinigt)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106,05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Nettoverschuldung Locked-Box-Datum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8,70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Pensionsrückstellung-Gap (Indemnity-Pending)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1,50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Rinner-Herauslösung (Kaufpreisminderung)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4,20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Barmittel-Bestand Locked-Box-Datum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3,10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Equity Value (Basis)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94,75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Earn-Out (max. 10 Mio. EUR, Barwert 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6,50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Kaufpreis bei Signing (Barzahlung)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88,25</w:t>
            </w:r>
          </w:p>
        </w:tc>
      </w:tr>
    </w:tbl>
    <w:p>
      <w:pPr>
        <w:jc w:val="left"/>
      </w:pPr>
      <w:r>
        <w:rPr>
          <w:i/>
        </w:rPr>
        <w:t>Anmerkung: Zahlen verhandlungsstand-abhängig; Steinheim hat Equity Value mit 68 Mio. EUR indiziert, da bereinigtes EBITDA streitig (s. VDD Y-01).</w:t>
      </w:r>
    </w:p>
    <w:p/>
    <w:p>
      <w:pPr>
        <w:pStyle w:val="Heading2"/>
      </w:pPr>
      <w:r>
        <w:rPr>
          <w:rFonts w:ascii="Times New Roman" w:hAnsi="Times New Roman"/>
        </w:rPr>
        <w:t>3. Leakage-Definitionen (Locked-Box)</w:t>
      </w:r>
    </w:p>
    <w:p>
      <w:pPr>
        <w:jc w:val="left"/>
      </w:pPr>
      <w:r>
        <w:t xml:space="preserve">Als </w:t>
      </w:r>
      <w:r>
        <w:rPr>
          <w:b/>
        </w:rPr>
        <w:t>Permitted Leakage</w:t>
      </w:r>
      <w:r>
        <w:t xml:space="preserve"> gelten:</w:t>
      </w:r>
    </w:p>
    <w:p>
      <w:pPr>
        <w:pStyle w:val="ListBullet"/>
      </w:pPr>
      <w:r>
        <w:t>Geschäftsführergehalt Lucas Pellbach bis Closing (marktüblich, max. 420 TEUR p.a.)</w:t>
      </w:r>
    </w:p>
    <w:p>
      <w:pPr>
        <w:pStyle w:val="ListBullet"/>
      </w:pPr>
      <w:r>
        <w:t>Anwaltskosten für Transaktion (bereits budgetiert)</w:t>
      </w:r>
    </w:p>
    <w:p>
      <w:pPr>
        <w:pStyle w:val="ListBullet"/>
      </w:pPr>
      <w:r>
        <w:t>Dividende aus verfügbarem Jahresüberschuss 2024 max. 500 TEUR (zu vereinbaren)</w:t>
      </w:r>
    </w:p>
    <w:p>
      <w:pPr>
        <w:jc w:val="left"/>
      </w:pPr>
      <w:r>
        <w:t xml:space="preserve">Als </w:t>
      </w:r>
      <w:r>
        <w:rPr>
          <w:b/>
        </w:rPr>
        <w:t>Non-Permitted Leakage</w:t>
      </w:r>
      <w:r>
        <w:t xml:space="preserve"> (Kaufpreisminderung EUR für EUR):</w:t>
      </w:r>
    </w:p>
    <w:p>
      <w:pPr>
        <w:pStyle w:val="ListBullet"/>
      </w:pPr>
      <w:r>
        <w:t>Zahlung an Gesellschafter oder verbundene Personen außerhalb des Gewöhnlichen</w:t>
      </w:r>
    </w:p>
    <w:p>
      <w:pPr>
        <w:pStyle w:val="ListBullet"/>
      </w:pPr>
      <w:r>
        <w:t>Einräumung von Pfandrechten oder Garantien zugunsten Dritter ohne Kompensation</w:t>
      </w:r>
    </w:p>
    <w:p>
      <w:pPr>
        <w:pStyle w:val="ListBullet"/>
      </w:pPr>
      <w:r>
        <w:t>Kapitalerhöhungen oder -herabsetzungen</w:t>
      </w:r>
    </w:p>
    <w:p>
      <w:pPr>
        <w:pStyle w:val="ListBullet"/>
      </w:pPr>
      <w:r>
        <w:t>Werthaltige Transaktionen zwischen Target und Reinhard-Familienvermögen</w:t>
      </w:r>
    </w:p>
    <w:p/>
    <w:p>
      <w:pPr>
        <w:pStyle w:val="Heading2"/>
      </w:pPr>
      <w:r>
        <w:rPr>
          <w:rFonts w:ascii="Times New Roman" w:hAnsi="Times New Roman"/>
        </w:rPr>
        <w:t>4. Working Capital — Referenzgröße</w:t>
      </w:r>
    </w:p>
    <w:p>
      <w:pPr>
        <w:jc w:val="left"/>
      </w:pPr>
      <w:r>
        <w:t>Durchschnittliches Working Capital 2022-2024: 8,3 Mio. EUR (normalisiert). Saisonale Spitze Q4: 11,8 Mio. EUR. Unter Locked-Box-Konzept kein Working-Capital-Adjustment, da Risiko beim Käufer ab Locked-Box-Datum.</w:t>
      </w:r>
    </w:p>
    <w:p/>
    <w:p>
      <w:pPr>
        <w:pStyle w:val="Heading2"/>
      </w:pPr>
      <w:r>
        <w:rPr>
          <w:rFonts w:ascii="Times New Roman" w:hAnsi="Times New Roman"/>
        </w:rPr>
        <w:t>5. Earn-Out-Brücke (Orientierung)</w:t>
      </w:r>
    </w:p>
    <w:p>
      <w:pPr>
        <w:jc w:val="left"/>
      </w:pPr>
      <w:r>
        <w:t>Earn-Out-Zahlung von max. 10 Mio. EUR bei Erreichen von bereinigtem Gruppen-EBITDA von 18 Mio. EUR in GJ 2028. Pro-rata-Mechanismus ab Hurdle 16,5 Mio. EUR. Streitig: HGB- oder IFRS-Grundlage (→ Aktenstück 12).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KPMG Advisory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KPMG Advisory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München — Partner Dipl.-Kfm. Stefan Grabinger · Aktenzeichen: SuP/2026-0041-CES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