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13 — Warranty &amp; Indemnity-Versicherung (W&amp;I-Versicherung)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Makler:</w:t>
      </w:r>
      <w:r>
        <w:t xml:space="preserve"> Aon M&amp;A Solutions GmbH, München (Ansprechpartnerin: Kerstin Dallmeier)</w:t>
      </w:r>
    </w:p>
    <w:p>
      <w:pPr>
        <w:jc w:val="left"/>
      </w:pPr>
      <w:r>
        <w:rPr>
          <w:b/>
        </w:rPr>
        <w:t>W&amp;I-Versicherer (Käuferpolice/Buy-Side):</w:t>
      </w:r>
      <w:r>
        <w:t xml:space="preserve"> HDI Global SE, Hannover</w:t>
      </w:r>
    </w:p>
    <w:p>
      <w:pPr>
        <w:jc w:val="left"/>
      </w:pPr>
      <w:r>
        <w:rPr>
          <w:b/>
        </w:rPr>
        <w:t>Datum:</w:t>
      </w:r>
      <w:r>
        <w:t xml:space="preserve"> 12. März 2026</w:t>
      </w:r>
    </w:p>
    <w:p/>
    <w:p>
      <w:pPr>
        <w:pStyle w:val="Heading2"/>
      </w:pPr>
      <w:r>
        <w:rPr>
          <w:rFonts w:ascii="Times New Roman" w:hAnsi="Times New Roman"/>
        </w:rPr>
        <w:t>1. W&amp;I-Versicherungskonzept</w:t>
      </w:r>
    </w:p>
    <w:p>
      <w:pPr>
        <w:pStyle w:val="Heading3"/>
      </w:pPr>
      <w:r>
        <w:rPr>
          <w:rFonts w:ascii="Times New Roman" w:hAnsi="Times New Roman"/>
        </w:rPr>
        <w:t>Policenart</w:t>
      </w:r>
    </w:p>
    <w:p>
      <w:pPr>
        <w:jc w:val="left"/>
      </w:pPr>
      <w:r>
        <w:rPr>
          <w:b/>
        </w:rPr>
        <w:t>Käuferseiten-W&amp;I-Police (Buy-Side Policy):</w:t>
      </w:r>
      <w:r>
        <w:t xml:space="preserve"> Steinheim Capital Partners als Versicherungsnehmer; Versicherer zahlt direkt an Käufer bei Garantieverletzungen, ohne dass Käufer zunächst Verkäufer in Anspruch nehmen muss. Dies ermöglicht Reinhard einen „sauberen" Ausstieg mit minimierter persönlicher Nachhaftung.</w:t>
      </w:r>
    </w:p>
    <w:p>
      <w:pPr>
        <w:pStyle w:val="Heading3"/>
      </w:pPr>
      <w:r>
        <w:rPr>
          <w:rFonts w:ascii="Times New Roman" w:hAnsi="Times New Roman"/>
        </w:rPr>
        <w:t>Versicherungssumme</w:t>
      </w:r>
    </w:p>
    <w:p>
      <w:pPr>
        <w:pStyle w:val="ListBullet"/>
      </w:pPr>
      <w:r>
        <w:t>Gesamtdeckung: 20,0 Mio. EUR (ca. 21 % des Equity Value)</w:t>
      </w:r>
    </w:p>
    <w:p>
      <w:pPr>
        <w:pStyle w:val="ListBullet"/>
      </w:pPr>
      <w:r>
        <w:t>Retention (Selbstbehalt Käufer): 530 TEUR (0,6 % Equity Value, Standard-Marktpraxis)</w:t>
      </w:r>
    </w:p>
    <w:p>
      <w:pPr>
        <w:pStyle w:val="ListBullet"/>
      </w:pPr>
      <w:r>
        <w:t>Prämie: ca. 1,2 % der Versicherungssumme = 240 TEUR (Steinheim und Reinhard je 50 % — strittig, O-08)</w:t>
      </w:r>
    </w:p>
    <w:p/>
    <w:p>
      <w:pPr>
        <w:pStyle w:val="Heading2"/>
      </w:pPr>
      <w:r>
        <w:rPr>
          <w:rFonts w:ascii="Times New Roman" w:hAnsi="Times New Roman"/>
        </w:rPr>
        <w:t>2. Umfang (Covered Warranties)</w:t>
      </w:r>
    </w:p>
    <w:p>
      <w:pPr>
        <w:jc w:val="left"/>
      </w:pPr>
      <w:r>
        <w:t>Abgedeckt sind alle Garantien des SPA Schedule 2 (Garantiekatalog) mit folgenden Ausschlüssen: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Ausschluss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Schwarze Kasse Polen (R-01)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Bekanntes Risiko; kein Versicherungsschutz für bekannte Sachverhalte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Pensionszusage-Gap Reinhard (R-02)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Disclosure im VDD; Underwriter schließt aus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Altlasten Passau I (Y-04, sofern bekannt)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Phase-I-Befund im VDD; Phase-II-Ergebnis nach Abschluss prüfbar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China-Sanktionen (laufend)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Gegenstand laufender behördlicher Prüfung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Forward-Looking Statements (Business Plan)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Faktengrantien für Zukunftsprojektionen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Underwriting-Prozess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Schritt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Non-Binding Indication (NBI)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Erhalten 18.02.2026; Prämie 1,1-1,4 % angegeben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Management Presentation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28.02.2026 via Videokonferenz; HDI-Underwriter und Pellbach-Management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Q&amp;A-Runde HDI zu VDD-Report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Abgeschlossen 10.03.2026; 22 Fragen beantwortet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Underwriting Call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12.03.2026; Binding Offer erteilt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Binding Offer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240 TEUR Prämie; 20 Mio. EUR Deckung; 530 TEUR Retention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Policenausstellung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Zu Signing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OT-Audit-Auflage</w:t>
      </w:r>
    </w:p>
    <w:p>
      <w:pPr>
        <w:jc w:val="left"/>
      </w:pPr>
      <w:r>
        <w:t>HDI Global SE hat als Auflage für Versicherungsschutz im IT/OT-Garantiebereich ein unabhängiges OT-Security-Audit der Produktionsanlagen Passau I und II vor Closing verlangt. Budget: 80 TEUR; Beauftragung TÜV Süd AG München laufend.</w:t>
      </w:r>
    </w:p>
    <w:p/>
    <w:p>
      <w:pPr>
        <w:pStyle w:val="Heading2"/>
      </w:pPr>
      <w:r>
        <w:rPr>
          <w:rFonts w:ascii="Times New Roman" w:hAnsi="Times New Roman"/>
        </w:rPr>
        <w:t>5. Prämienaufteilung (Streitpunkt O-08)</w:t>
      </w:r>
    </w:p>
    <w:p>
      <w:pPr>
        <w:jc w:val="left"/>
      </w:pPr>
      <w:r>
        <w:t>Steinheim besteht auf 100 %-Übernahme der Prämie durch Verkäufer (Argument: W&amp;I-Versicherung ersetzt Reinhard-Nachhaftung; daher Kosten beim Verkäufer). Reinhard bietet 50/50. Marktpraxis: je nach Verhandlungsmacht variiert (Verkäufermarkt: Käufer trägt; Käufermarkt: Verkäufer trägt; neutraler Markt: 50/50). Kompromissvorschlag: Käufer trägt 70 %, Verkäufer 30 %.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 Solutions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 Solutions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München (Ansprechpartnerin: Kerstin Dallmeier) · Aktenzeichen: SuP/2026-0041-CES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