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Source-Escrow-Trigger - Checkliste</w:t>
      </w:r>
    </w:p>
    <w:p>
      <w:pPr>
        <w:pStyle w:val="ListBullet"/>
      </w:pPr>
      <w:r>
        <w:t>Ist die Escrow-Anlage Vertragsbestandteil oder nur im Datenraum erwähnt?</w:t>
      </w:r>
    </w:p>
    <w:p>
      <w:pPr>
        <w:pStyle w:val="ListBullet"/>
      </w:pPr>
      <w:r>
        <w:t>Gibt es einen Trigger bei “critical failure” oder nur bei Insolvenz, Supportende und dauerhafter Nichterfüllung?</w:t>
      </w:r>
    </w:p>
    <w:p>
      <w:pPr>
        <w:pStyle w:val="ListBullet"/>
      </w:pPr>
      <w:r>
        <w:t>Muss der hinterlegte Stand buildfähig sein? Welche Third-Party-Komponenten sind enthalten?</w:t>
      </w:r>
    </w:p>
    <w:p>
      <w:pPr>
        <w:pStyle w:val="ListBullet"/>
      </w:pPr>
      <w:r>
        <w:t>Darf Sonnenklee den Code selbst nutzen oder nur einem Ersatzdienstleister übergeben?</w:t>
      </w:r>
    </w:p>
    <w:p>
      <w:pPr>
        <w:pStyle w:val="ListBullet"/>
      </w:pPr>
      <w:r>
        <w:t>Sind OSS- und Contractor-Rechte von der Herausgabe gedeckt?</w:t>
      </w:r>
    </w:p>
    <w:p>
      <w:pPr>
        <w:pStyle w:val="ListBullet"/>
      </w:pPr>
      <w:r>
        <w:t>Wer prüft die Trigger: Escrow-Agent, Schiedsgutachter, Gericht oder beide Parteien?</w:t>
      </w:r>
    </w:p>
    <w:p>
      <w:pPr>
        <w:pStyle w:val="ListBullet"/>
      </w:pPr>
      <w:r>
        <w:t>Welche Geheimnisschutzmaßnahmen gelten nach Herausgabe?</w:t>
      </w:r>
    </w:p>
    <w:p>
      <w:pPr>
        <w:jc w:val="left"/>
      </w:pPr>
      <w:r>
        <w:t>Kurzbefund: Der Trigger “failure to provide business-critical availability” ist zu weich. Codeforst sollte technische Verifikation, Cure Period, eingeschränkte Nutzung, Vertraulichkeit und Rechtekettenvorbehalte nachziehen.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Wer prüft die Trigger: Escrow-Agent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Wer prüft die Trigger: Escrow-Agent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Schiedsgutachter, Gericht oder beide Parteien?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