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Beweisbeschluss</w:t>
      </w:r>
    </w:p>
    <w:p>
      <w:pPr>
        <w:jc w:val="left"/>
      </w:pPr>
      <w:r>
        <w:rPr>
          <w:b/>
        </w:rPr>
        <w:t>Geschäfts-Nr.:</w:t>
      </w:r>
      <w:r>
        <w:t xml:space="preserve"> 11 C 2406/26</w:t>
      </w:r>
    </w:p>
    <w:p>
      <w:pPr>
        <w:jc w:val="left"/>
      </w:pPr>
      <w:r>
        <w:rPr>
          <w:b/>
        </w:rPr>
        <w:t>Datum:</w:t>
      </w:r>
      <w:r>
        <w:t xml:space="preserve"> 15. Mai 2026</w:t>
      </w:r>
    </w:p>
    <w:p>
      <w:pPr>
        <w:jc w:val="left"/>
      </w:pPr>
      <w:r>
        <w:t>In dem Rechtsstreit</w:t>
      </w:r>
    </w:p>
    <w:p>
      <w:pPr>
        <w:jc w:val="left"/>
      </w:pPr>
      <w:r>
        <w:t>Datenschutzverein NORD e.V. gegen Lir Optics Ltd.</w:t>
      </w:r>
    </w:p>
    <w:p>
      <w:pPr>
        <w:jc w:val="left"/>
      </w:pPr>
      <w:r>
        <w:t>beschliesst das Amtsgericht Hamburg, 11. Zivilabteilung, durch die Richterin am Amtsgericht Dr. Beispiel:</w:t>
      </w:r>
    </w:p>
    <w:p>
      <w:pPr>
        <w:jc w:val="left"/>
      </w:pPr>
      <w:r>
        <w:t>Über die Behauptung der Klägerin, dass die streitgegenstaendliche Datenbrille der Bauart Solis Vision X im Werkszustand und ohne Nutzeraktivität eine permanente Buffering-Aufzeichnung der Umgebung anfertige (60 Sekunden Ringspeicher), die ohne LED- oder anderes Signal an aufgenommene Personen erfolge, soll Beweis erhoben werden durch Vernehmung des Sachverständigen Dipl.-Ing. Tobias Reiff.</w:t>
      </w:r>
    </w:p>
    <w:p>
      <w:pPr>
        <w:jc w:val="left"/>
      </w:pPr>
      <w:r>
        <w:t>Der Sachverständige wird zudem darum gebeten, ein schriftliches Ergänzungsgutachten dazu vorzulegen, ob die Buffering-Funktion über das Endnutzer-Menü deaktivierbar ist und ob für ihre Deaktivierung Entwicklerzugang erforderlich ist.</w:t>
      </w:r>
    </w:p>
    <w:p>
      <w:pPr>
        <w:jc w:val="left"/>
      </w:pPr>
      <w:r>
        <w:t>Frist: drei Tage.</w:t>
      </w:r>
    </w:p>
    <w:p>
      <w:pPr>
        <w:jc w:val="left"/>
      </w:pPr>
      <w:r>
        <w:t>Hamburg, den 15. Mai 2026</w:t>
      </w:r>
    </w:p>
    <w:p>
      <w:pPr>
        <w:jc w:val="left"/>
      </w:pPr>
      <w:r>
        <w:t>Dr. Beispiel</w:t>
      </w:r>
    </w:p>
    <w:p>
      <w:pPr>
        <w:jc w:val="left"/>
      </w:pPr>
      <w:r>
        <w:t>Richterin am Amtsgericht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11. Zivilabteilung, durch die Richterin am Amtsgericht Dr. Beispiel: · 11 C 2406/26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