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Entscheidungsmemo nächste 30 Tage</w:t>
      </w:r>
    </w:p>
    <w:p>
      <w:pPr>
        <w:pStyle w:val="ListNumber"/>
      </w:pPr>
      <w:r>
        <w:t>ELSTER-Fragebogen finalisieren; Umsatzschätzung realistisch, § 19 UStG bewusst entscheiden.</w:t>
      </w:r>
    </w:p>
    <w:p>
      <w:pPr>
        <w:pStyle w:val="ListNumber"/>
      </w:pPr>
      <w:r>
        <w:t>Gewerbe/Freiberuf mit Tätigkeitsbeschreibung trennen und ggf. Template-Shop gesondert anmelden.</w:t>
      </w:r>
    </w:p>
    <w:p>
      <w:pPr>
        <w:pStyle w:val="ListNumber"/>
      </w:pPr>
      <w:r>
        <w:t>Nordstern-Vertrag verhandeln: Scope, Anwesenheit, Rechte, Change Requests, Zahlung, Datenschutz.</w:t>
      </w:r>
    </w:p>
    <w:p>
      <w:pPr>
        <w:pStyle w:val="ListNumber"/>
      </w:pPr>
      <w:r>
        <w:t>Rechnung 2026-004 korrigieren und Zahlungsziel dokumentieren.</w:t>
      </w:r>
    </w:p>
    <w:p>
      <w:pPr>
        <w:pStyle w:val="ListNumber"/>
      </w:pPr>
      <w:r>
        <w:t>DRV-Risiko intern analysieren, nicht vorschnell Aussagen gegenüber Auftraggeber oder Behörden.</w:t>
      </w:r>
    </w:p>
    <w:p>
      <w:pPr>
        <w:pStyle w:val="ListNumber"/>
      </w:pPr>
      <w:r>
        <w:t>KSK-Unterlagen sauber belegen: Arbeitsproben, Rechnungen, Website, Projektliste.</w:t>
      </w:r>
    </w:p>
    <w:p>
      <w:pPr>
        <w:pStyle w:val="ListNumber"/>
      </w:pPr>
      <w:r>
        <w:t>Website-Datenschutz und Toolstack bereinigen.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DRV-Risiko intern analysieren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DRV-Risiko intern analysieren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nicht vorschnell Aussagen gegenüber Auftraggeber oder Behörden.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