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Kostenvoranschlag mit Alternativen, vollständige Fassung</w:t>
      </w:r>
    </w:p>
    <w:p>
      <w:r>
        <w:rPr>
          <w:rFonts w:ascii="Times New Roman" w:hAnsi="Times New Roman"/>
          <w:b/>
          <w:i w:val="0"/>
          <w:sz w:val="22"/>
        </w:rPr>
        <w:t>RehaTechnik Albrecht GmbH</w:t>
      </w:r>
    </w:p>
    <w:p>
      <w:r>
        <w:rPr>
          <w:rFonts w:ascii="Times New Roman" w:hAnsi="Times New Roman"/>
          <w:b w:val="0"/>
          <w:i w:val="0"/>
          <w:sz w:val="22"/>
        </w:rPr>
        <w:t>Fachhandel für Rehabilitationstechnik</w:t>
      </w:r>
    </w:p>
    <w:p>
      <w:r>
        <w:rPr>
          <w:rFonts w:ascii="Times New Roman" w:hAnsi="Times New Roman"/>
          <w:b w:val="0"/>
          <w:i w:val="0"/>
          <w:sz w:val="22"/>
        </w:rPr>
        <w:t>Cloppenburger Straße 302, 26133 Oldenburg</w:t>
      </w:r>
    </w:p>
    <w:p/>
    <w:p>
      <w:r>
        <w:rPr>
          <w:rFonts w:ascii="Times New Roman" w:hAnsi="Times New Roman"/>
          <w:b w:val="0"/>
          <w:i w:val="0"/>
          <w:sz w:val="22"/>
        </w:rPr>
        <w:t>Kostenvoranschlag Nr. RTA-2026-3381 vom 20.05.2026</w:t>
      </w:r>
    </w:p>
    <w:p>
      <w:pPr>
        <w:pStyle w:val="Heading2"/>
      </w:pPr>
      <w:r>
        <w:t>1. Hauptangebot: Kompakter Elektrorollstuhl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0"/>
              </w:rPr>
              <w:t>Position</w:t>
            </w:r>
          </w:p>
        </w:tc>
        <w:tc>
          <w:tcPr>
            <w:tcW w:type="dxa" w:w="2880"/>
          </w:tcPr>
          <w:p>
            <w:r/>
            <w:r>
              <w:rPr>
                <w:rFonts w:ascii="Times New Roman" w:hAnsi="Times New Roman"/>
                <w:b/>
                <w:sz w:val="20"/>
              </w:rPr>
              <w:t>Bezeichnung</w:t>
            </w:r>
          </w:p>
        </w:tc>
        <w:tc>
          <w:tcPr>
            <w:tcW w:type="dxa" w:w="2880"/>
          </w:tcPr>
          <w:p>
            <w:r/>
            <w:r>
              <w:rPr>
                <w:rFonts w:ascii="Times New Roman" w:hAnsi="Times New Roman"/>
                <w:b/>
                <w:sz w:val="20"/>
              </w:rPr>
              <w:t>Einzelpreis EUR</w:t>
            </w:r>
          </w:p>
        </w:tc>
      </w:tr>
      <w:tr>
        <w:tc>
          <w:tcPr>
            <w:tcW w:type="dxa" w:w="2880"/>
          </w:tcPr>
          <w:p>
            <w:r/>
            <w:r>
              <w:rPr>
                <w:rFonts w:ascii="Times New Roman" w:hAnsi="Times New Roman"/>
                <w:sz w:val="20"/>
              </w:rPr>
              <w:t>1</w:t>
            </w:r>
          </w:p>
        </w:tc>
        <w:tc>
          <w:tcPr>
            <w:tcW w:type="dxa" w:w="2880"/>
          </w:tcPr>
          <w:p>
            <w:r/>
            <w:r>
              <w:rPr>
                <w:rFonts w:ascii="Times New Roman" w:hAnsi="Times New Roman"/>
                <w:sz w:val="20"/>
              </w:rPr>
              <w:t>Elektrorollstuhl Innenraum- und Nahbereichsklasse B</w:t>
            </w:r>
          </w:p>
        </w:tc>
        <w:tc>
          <w:tcPr>
            <w:tcW w:type="dxa" w:w="2880"/>
          </w:tcPr>
          <w:p>
            <w:r/>
            <w:r>
              <w:rPr>
                <w:rFonts w:ascii="Times New Roman" w:hAnsi="Times New Roman"/>
                <w:sz w:val="20"/>
              </w:rPr>
              <w:t>8990.00</w:t>
            </w:r>
          </w:p>
        </w:tc>
      </w:tr>
      <w:tr>
        <w:tc>
          <w:tcPr>
            <w:tcW w:type="dxa" w:w="2880"/>
          </w:tcPr>
          <w:p>
            <w:r/>
            <w:r>
              <w:rPr>
                <w:rFonts w:ascii="Times New Roman" w:hAnsi="Times New Roman"/>
                <w:sz w:val="20"/>
              </w:rPr>
              <w:t>2</w:t>
            </w:r>
          </w:p>
        </w:tc>
        <w:tc>
          <w:tcPr>
            <w:tcW w:type="dxa" w:w="2880"/>
          </w:tcPr>
          <w:p>
            <w:r/>
            <w:r>
              <w:rPr>
                <w:rFonts w:ascii="Times New Roman" w:hAnsi="Times New Roman"/>
                <w:sz w:val="20"/>
              </w:rPr>
              <w:t>Kippschutz hinten</w:t>
            </w:r>
          </w:p>
        </w:tc>
        <w:tc>
          <w:tcPr>
            <w:tcW w:type="dxa" w:w="2880"/>
          </w:tcPr>
          <w:p>
            <w:r/>
            <w:r>
              <w:rPr>
                <w:rFonts w:ascii="Times New Roman" w:hAnsi="Times New Roman"/>
                <w:sz w:val="20"/>
              </w:rPr>
              <w:t>310.00</w:t>
            </w:r>
          </w:p>
        </w:tc>
      </w:tr>
      <w:tr>
        <w:tc>
          <w:tcPr>
            <w:tcW w:type="dxa" w:w="2880"/>
          </w:tcPr>
          <w:p>
            <w:r/>
            <w:r>
              <w:rPr>
                <w:rFonts w:ascii="Times New Roman" w:hAnsi="Times New Roman"/>
                <w:sz w:val="20"/>
              </w:rPr>
              <w:t>3</w:t>
            </w:r>
          </w:p>
        </w:tc>
        <w:tc>
          <w:tcPr>
            <w:tcW w:type="dxa" w:w="2880"/>
          </w:tcPr>
          <w:p>
            <w:r/>
            <w:r>
              <w:rPr>
                <w:rFonts w:ascii="Times New Roman" w:hAnsi="Times New Roman"/>
                <w:sz w:val="20"/>
              </w:rPr>
              <w:t>Zusatzakku für erweiterte Reichweite</w:t>
            </w:r>
          </w:p>
        </w:tc>
        <w:tc>
          <w:tcPr>
            <w:tcW w:type="dxa" w:w="2880"/>
          </w:tcPr>
          <w:p>
            <w:r/>
            <w:r>
              <w:rPr>
                <w:rFonts w:ascii="Times New Roman" w:hAnsi="Times New Roman"/>
                <w:sz w:val="20"/>
              </w:rPr>
              <w:t>540.00</w:t>
            </w:r>
          </w:p>
        </w:tc>
      </w:tr>
      <w:tr>
        <w:tc>
          <w:tcPr>
            <w:tcW w:type="dxa" w:w="2880"/>
          </w:tcPr>
          <w:p>
            <w:r/>
            <w:r>
              <w:rPr>
                <w:rFonts w:ascii="Times New Roman" w:hAnsi="Times New Roman"/>
                <w:sz w:val="20"/>
              </w:rPr>
              <w:t>4</w:t>
            </w:r>
          </w:p>
        </w:tc>
        <w:tc>
          <w:tcPr>
            <w:tcW w:type="dxa" w:w="2880"/>
          </w:tcPr>
          <w:p>
            <w:r/>
            <w:r>
              <w:rPr>
                <w:rFonts w:ascii="Times New Roman" w:hAnsi="Times New Roman"/>
                <w:sz w:val="20"/>
              </w:rPr>
              <w:t>Fahrtraining, sechs Einheiten</w:t>
            </w:r>
          </w:p>
        </w:tc>
        <w:tc>
          <w:tcPr>
            <w:tcW w:type="dxa" w:w="2880"/>
          </w:tcPr>
          <w:p>
            <w:r/>
            <w:r>
              <w:rPr>
                <w:rFonts w:ascii="Times New Roman" w:hAnsi="Times New Roman"/>
                <w:sz w:val="20"/>
              </w:rPr>
              <w:t>480.00</w:t>
            </w:r>
          </w:p>
        </w:tc>
      </w:tr>
      <w:tr>
        <w:tc>
          <w:tcPr>
            <w:tcW w:type="dxa" w:w="2880"/>
          </w:tcPr>
          <w:p>
            <w:r/>
            <w:r>
              <w:rPr>
                <w:rFonts w:ascii="Times New Roman" w:hAnsi="Times New Roman"/>
                <w:sz w:val="20"/>
              </w:rPr>
              <w:t>5</w:t>
            </w:r>
          </w:p>
        </w:tc>
        <w:tc>
          <w:tcPr>
            <w:tcW w:type="dxa" w:w="2880"/>
          </w:tcPr>
          <w:p>
            <w:r/>
            <w:r>
              <w:rPr>
                <w:rFonts w:ascii="Times New Roman" w:hAnsi="Times New Roman"/>
                <w:sz w:val="20"/>
              </w:rPr>
              <w:t>Anpassung Sitzsystem</w:t>
            </w:r>
          </w:p>
        </w:tc>
        <w:tc>
          <w:tcPr>
            <w:tcW w:type="dxa" w:w="2880"/>
          </w:tcPr>
          <w:p>
            <w:r/>
            <w:r>
              <w:rPr>
                <w:rFonts w:ascii="Times New Roman" w:hAnsi="Times New Roman"/>
                <w:sz w:val="20"/>
              </w:rPr>
              <w:t>670.00</w:t>
            </w:r>
          </w:p>
        </w:tc>
      </w:tr>
    </w:tbl>
    <w:p/>
    <w:p>
      <w:r>
        <w:rPr>
          <w:rFonts w:ascii="Times New Roman" w:hAnsi="Times New Roman"/>
          <w:b w:val="0"/>
          <w:i w:val="0"/>
          <w:sz w:val="22"/>
        </w:rPr>
        <w:t>Gesamtsumme Hauptangebot: 10990.00 EUR</w:t>
      </w:r>
    </w:p>
    <w:p>
      <w:pPr>
        <w:pStyle w:val="Heading2"/>
      </w:pPr>
      <w:r>
        <w:t>2. Alternative 1: Aufsatz-Antrieb für vorhandenen Faltrollstuhl</w:t>
      </w:r>
    </w:p>
    <w:p>
      <w:r>
        <w:rPr>
          <w:rFonts w:ascii="Times New Roman" w:hAnsi="Times New Roman"/>
          <w:b w:val="0"/>
          <w:i w:val="0"/>
          <w:sz w:val="22"/>
        </w:rPr>
        <w:t>Ein elektrischer Zusatzantrieb, der auf den bereits vorhandenen manuellen Faltrollstuhl aufgesetzt wird, käme auf etwa 4200.00 EUR. Diese Lösung würde die Anschaffung eines komplett neuen Rollstuhls vermeiden, ist jedoch technisch nur eingeschränkt für die schmalen Innenräume der Wohnung geeignet, da sich die Gesamtbreite des Systems um zusätzliche 12 Zentimeter vergrößert.</w:t>
      </w:r>
    </w:p>
    <w:p>
      <w:pPr>
        <w:pStyle w:val="Heading2"/>
      </w:pPr>
      <w:r>
        <w:t>3. Alternative 2: Standard-Elektrorollstuhl ohne Sonderausstattung</w:t>
      </w:r>
    </w:p>
    <w:p>
      <w:r>
        <w:rPr>
          <w:rFonts w:ascii="Times New Roman" w:hAnsi="Times New Roman"/>
          <w:b w:val="0"/>
          <w:i w:val="0"/>
          <w:sz w:val="22"/>
        </w:rPr>
        <w:t>Ein einfacheres Modell ohne Zusatzakku und ohne individuelle Sitzanpassung würde etwa 6100.00 EUR kosten, würde nach fachlicher Einschätzung des Sanitätshauses jedoch die notwendige Reichweite für den täglichen Weg zur Apotheke und zum Hausarzt nicht zuverlässig gewährleisten.</w:t>
      </w:r>
    </w:p>
    <w:p>
      <w:pPr>
        <w:pStyle w:val="Heading2"/>
      </w:pPr>
      <w:r>
        <w:t>4. Vergleich mit dem von der Kasse favorisierten Standard-Faltrollstuhl</w:t>
      </w:r>
    </w:p>
    <w:p>
      <w:r>
        <w:rPr>
          <w:rFonts w:ascii="Times New Roman" w:hAnsi="Times New Roman"/>
          <w:b w:val="0"/>
          <w:i w:val="0"/>
          <w:sz w:val="22"/>
        </w:rPr>
        <w:t>Ein Standard-Faltrollstuhl aus dem Vertragssortiment der Krankenkasse liegt bei etwa 740.00 EUR, setzt aber durchgehend eine schiebende Begleitperson voraus und stellt keine selbstständige Mobilität her.</w:t>
      </w:r>
    </w:p>
    <w:p>
      <w:pPr>
        <w:pStyle w:val="Heading2"/>
      </w:pPr>
      <w:r>
        <w:t>5. Empfehlung des Sanitätshauses</w:t>
      </w:r>
    </w:p>
    <w:p>
      <w:r>
        <w:rPr>
          <w:rFonts w:ascii="Times New Roman" w:hAnsi="Times New Roman"/>
          <w:b w:val="0"/>
          <w:i w:val="0"/>
          <w:sz w:val="22"/>
        </w:rPr>
        <w:t>Aus fachlicher Sicht wird das Hauptangebot empfohlen, da es die einzige Option ist, die sowohl den räumlichen Anforderungen der Wohnung als auch der erforderlichen Reichweite für den Nahbereich gerecht wird.</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RehaTechnik Albrecht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RehaTechnik Albrecht GmbH</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