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Rechtsprechungsübersicht Hilfsmittelversorgung Elektrorollstuhl</w:t>
      </w:r>
    </w:p>
    <w:p>
      <w:r>
        <w:rPr>
          <w:rFonts w:ascii="Times New Roman" w:hAnsi="Times New Roman"/>
          <w:b w:val="0"/>
          <w:i w:val="0"/>
          <w:sz w:val="22"/>
        </w:rPr>
        <w:t>Interne Arbeitsunterlage der Kanzlei Ahlers und Brinkmann, Stand 20.09.2026</w:t>
      </w:r>
    </w:p>
    <w:p>
      <w:pPr>
        <w:pStyle w:val="Heading2"/>
      </w:pPr>
      <w:r>
        <w:t>1. Bundessozialgericht, Urteil vom 18.05.2021, B 3 KR 3/19 R</w:t>
      </w:r>
    </w:p>
    <w:p>
      <w:r>
        <w:rPr>
          <w:rFonts w:ascii="Times New Roman" w:hAnsi="Times New Roman"/>
          <w:b w:val="0"/>
          <w:i w:val="0"/>
          <w:sz w:val="22"/>
        </w:rPr>
        <w:t>Das Bundessozialgericht hat entschieden, dass sich der Basisausgleich einer Gehbehinderung nicht auf das bloße Erreichen der eigenen Wohnungstür beschränkt. Erfasst wird auch die Erschließung eines gewissen körperlichen Freiraums im Nahbereich der Wohnung, der die Wahrnehmung elementarer Bedürfnisse des täglichen Lebens ermöglicht, etwa der Weg zu Ärzten, Apotheken oder Geschäften in fußläufiger Entfernung. Eine Versorgung, die nur die Fortbewegung innerhalb der eigenen vier Wände sicherstellt, deckt den Anspruch nicht vollständig.</w:t>
      </w:r>
    </w:p>
    <w:p>
      <w:pPr>
        <w:pStyle w:val="Heading2"/>
      </w:pPr>
      <w:r>
        <w:t>2. Bundessozialgericht, Urteil vom 07.10.2010, B 3 KR 5/10 R</w:t>
      </w:r>
    </w:p>
    <w:p>
      <w:r>
        <w:rPr>
          <w:rFonts w:ascii="Times New Roman" w:hAnsi="Times New Roman"/>
          <w:b w:val="0"/>
          <w:i w:val="0"/>
          <w:sz w:val="22"/>
        </w:rPr>
        <w:t>Nach dieser Entscheidung ist bei der Auswahl zwischen mehreren geeigneten Hilfsmitteln das Wirtschaftlichkeitsgebot zu beachten. Ein Hilfsmittel ist jedoch nur dann eine wirtschaftliche Alternative, wenn es den Versorgungszweck tatsächlich gleichwertig erfüllt. Kann der Versicherte ein günstigeres Hilfsmittel aus gesundheitlichen Gründen nicht in vergleichbarer Weise nutzen, scheidet der Verweis auf dieses Hilfsmittel aus.</w:t>
      </w:r>
    </w:p>
    <w:p>
      <w:pPr>
        <w:pStyle w:val="Heading2"/>
      </w:pPr>
      <w:r>
        <w:t>3. Bundessozialgericht, Urteil vom 21.03.2013, B 3 KR 4/12 R</w:t>
      </w:r>
    </w:p>
    <w:p>
      <w:r>
        <w:rPr>
          <w:rFonts w:ascii="Times New Roman" w:hAnsi="Times New Roman"/>
          <w:b w:val="0"/>
          <w:i w:val="0"/>
          <w:sz w:val="22"/>
        </w:rPr>
        <w:t>Die Entscheidung befasst sich mit der Abgrenzung zwischen Behinderungsausgleich und allgemeinem Gebrauchsgegenstand. Ein Elektrorollstuhl ist danach regelmäßig kein allgemeiner Gebrauchsgegenstand, weil er speziell auf die Bedürfnisse von Menschen mit erheblich eingeschränkter Gehfähigkeit zugeschnitten ist und im Handel nicht als Gegenstand des allgemeinen täglichen Bedarfs erhältlich ist.</w:t>
      </w:r>
    </w:p>
    <w:p>
      <w:pPr>
        <w:pStyle w:val="Heading2"/>
      </w:pPr>
      <w:r>
        <w:t>4. Bundessozialgericht, Urteil vom 29.01.2019, B 3 KR 4/16 R</w:t>
      </w:r>
    </w:p>
    <w:p>
      <w:r>
        <w:rPr>
          <w:rFonts w:ascii="Times New Roman" w:hAnsi="Times New Roman"/>
          <w:b w:val="0"/>
          <w:i w:val="0"/>
          <w:sz w:val="22"/>
        </w:rPr>
        <w:t>Diese Entscheidung betont, dass die gesetzliche Krankenversicherung nicht zur Herstellung größtmöglicher Mobilität verpflichtet ist, sondern nur zum Ausgleich der Behinderung im Sinne eines Basisausgleichs. Der Umfang der geschuldeten Versorgung richtet sich nach dem, was zur Befriedigung der Grundbedürfnisse notwendig ist, nicht nach einer vollständigen Gleichstellung mit nicht behinderten Menschen.</w:t>
      </w:r>
    </w:p>
    <w:p>
      <w:pPr>
        <w:pStyle w:val="Heading2"/>
      </w:pPr>
      <w:r>
        <w:t>5. Einordnung für das vorliegende Verfahren</w:t>
      </w:r>
    </w:p>
    <w:p>
      <w:r>
        <w:rPr>
          <w:rFonts w:ascii="Times New Roman" w:hAnsi="Times New Roman"/>
          <w:b w:val="0"/>
          <w:i w:val="0"/>
          <w:sz w:val="22"/>
        </w:rPr>
        <w:t>Die genannten Entscheidungen zeigen, dass die Abgrenzung im vorliegenden Fall maßgeblich von zwei Tatsachenfragen abhängt: erstens vom Umfang der tatsächlich verbliebenen Gehfähigkeit und deren Belastbarkeit über eine gewisse Strecke, und zweitens von der Frage, ob der Kläger einen manuellen Rollstuhl aus gesundheitlichen Gründen nicht in vergleichbarer Weise wie einen Elektrorollstuhl nutzen kann. Beide Fragen sind tatrichterlich auf Grundlage der Beweisaufnahme zu klären und werden durch keine der zitierten Entscheidungen vorweggenommen.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1. Bundessozialgericht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1. Bundessozialgericht</w:t>
    </w:r>
  </w:p>
  <w:p>
    <w:pPr>
      <w:jc w:val="left"/>
      <w:pBdr>
        <w:bottom w:val="single" w:sz="6" w:space="2" w:color="3B3F45"/>
      </w:pBdr>
    </w:pPr>
    <w:r>
      <w:rPr>
        <w:rFonts w:ascii="Times New Roman" w:hAnsi="Times New Roman"/>
        <w:color w:val="6B6B66"/>
        <w:sz w:val="16"/>
      </w:rPr>
      <w:t>Urteil vom 18.05.2021, B 3 KR 3/19 R · 3 KR 3/19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