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Rheinboden Kreditbank AG | Recovery Management</w:t>
      </w:r>
    </w:p>
    <w:p>
      <w:pPr>
        <w:pStyle w:val="Heading1"/>
      </w:pPr>
      <w:r>
        <w:t>Forderungsanmeldung zur Insolvenztabelle</w:t>
      </w:r>
    </w:p>
    <w:p>
      <w:r>
        <w:t>An den Insolvenzverwalter Dr. Markus Ovelgoenne, Duesseldorf</w:t>
      </w:r>
    </w:p>
    <w:p>
      <w:r>
        <w:t>Insolvenzverfahren Silberweiher Beteiligungs GmbH, Az. 512 IN 88/26</w:t>
      </w:r>
    </w:p>
    <w:p>
      <w:pPr>
        <w:pStyle w:val="Heading2"/>
      </w:pPr>
      <w:r>
        <w:t>Anmeldung</w:t>
      </w:r>
    </w:p>
    <w:p>
      <w:r>
        <w:t>Die Rheinboden Kreditbank AG meldet zur Insolvenztabelle folgende Forderung an:</w:t>
      </w:r>
    </w:p>
    <w:p>
      <w:pPr>
        <w:pStyle w:val="ListBullet"/>
      </w:pPr>
      <w:r>
        <w:t>Hauptforderung aus Hoechstbetragsbuergschaft (Faelligstellung vom 02.12.2024): 610.054,00 EUR</w:t>
      </w:r>
    </w:p>
    <w:p>
      <w:pPr>
        <w:pStyle w:val="ListBullet"/>
      </w:pPr>
      <w:r>
        <w:t>Zinsen seit Faelligstellung bis Verfahrenseroeffnung (03.08.2026): 47.612,30 EUR</w:t>
      </w:r>
    </w:p>
    <w:p>
      <w:pPr>
        <w:pStyle w:val="ListBullet"/>
      </w:pPr>
      <w:r>
        <w:t>Kostenerstattung aus BGH-Verfahren IX ZB 18/25 (Kostenfestsetzungsbeschluss vom 19.05.2026): 8.940,17 EUR</w:t>
      </w:r>
    </w:p>
    <w:p>
      <w:pPr>
        <w:pStyle w:val="ListBullet"/>
      </w:pPr>
      <w:r>
        <w:t>Gesamtforderung: 666.606,47 EUR</w:t>
      </w:r>
    </w:p>
    <w:p>
      <w:r>
        <w:t>Rang: einfache Insolvenzforderung nach Paragraf 38 InsO. Eine abgesonderte Befriedigung wird nicht geltend gemacht, da die Buergschaft ungesichert war.</w:t>
      </w:r>
    </w:p>
    <w:p/>
    <w:p>
      <w:r>
        <w:t>i.A. Recovery Management, Rheinboden Kreditbank AG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Rheinboden Kreditbank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Rheinboden Kreditbank AG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512 IN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