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Quirrenbach &amp; Partner mbB | Rechtsanwaelte | Duesseldorf</w:t>
      </w:r>
    </w:p>
    <w:p>
      <w:pPr>
        <w:pStyle w:val="Heading1"/>
      </w:pPr>
      <w:r>
        <w:t>Protokoll des Pruefungstermins</w:t>
      </w:r>
    </w:p>
    <w:p>
      <w:r>
        <w:t>Amtsgericht Duesseldorf, Az. 512 IN 88/26, Termin vom 20.10.2026</w:t>
      </w:r>
    </w:p>
    <w:p>
      <w:pPr>
        <w:pStyle w:val="Heading2"/>
      </w:pPr>
      <w:r>
        <w:t>Ergebnis der Forderungspruefung</w:t>
      </w:r>
    </w:p>
    <w:p>
      <w:pPr>
        <w:pStyle w:val="ListBullet"/>
      </w:pPr>
      <w:r>
        <w:t>Rheinboden Kreditbank AG, 666.606,47 EUR: festgestellt in voller Hoehe, kein Widerspruch</w:t>
      </w:r>
    </w:p>
    <w:p>
      <w:pPr>
        <w:pStyle w:val="ListBullet"/>
      </w:pPr>
      <w:r>
        <w:t>Fedder &amp; Sohst, 1.897,00 EUR: festgestellt in voller Hoehe</w:t>
      </w:r>
    </w:p>
    <w:p>
      <w:pPr>
        <w:pStyle w:val="ListBullet"/>
      </w:pPr>
      <w:r>
        <w:t>Finanzamt Duesseldorf-Nord (Gewerbesteuer 2025), 3.240,00 EUR: festgestellt</w:t>
      </w:r>
    </w:p>
    <w:p>
      <w:pPr>
        <w:pStyle w:val="ListBullet"/>
      </w:pPr>
      <w:r>
        <w:t>Sonstige Kleinglaeubiger (IT-Dienstleister, Buerobedarf): 2.114,90 EUR: festgestellt</w:t>
      </w:r>
    </w:p>
    <w:p>
      <w:pPr>
        <w:pStyle w:val="ListBullet"/>
      </w:pPr>
      <w:r>
        <w:t>Gesamtsumme der festgestellten Insolvenzforderungen: 673.858,37 EUR</w:t>
      </w:r>
    </w:p>
    <w:p>
      <w:pPr>
        <w:pStyle w:val="Heading2"/>
      </w:pPr>
      <w:r>
        <w:t>Berichtstermin</w:t>
      </w:r>
    </w:p>
    <w:p>
      <w:r>
        <w:t>Der Insolvenzverwalter berichtet, dass eine Fortfuehrung der Schuldnerin mangels operativen Geschaeftsbetriebs nicht in Betracht kommt. Die Beteiligungen an den beiden Tochtergesellschaften sind wertlos, da diese sich bereits im eigenen Insolvenzverfahren befinden. Es wird die masselose Abwicklung angestrebt.</w:t>
      </w:r>
    </w:p>
    <w:p/>
    <w:p>
      <w:r>
        <w:t>Protokollfuehrerin der Geschaeftsstelle</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Quirrenbach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QUIRRENBACH &amp; PARTNER MBB</w:t>
    </w:r>
  </w:p>
  <w:p>
    <w:pPr>
      <w:jc w:val="left"/>
      <w:pBdr>
        <w:bottom w:val="single" w:sz="8" w:space="2" w:color="2C5230"/>
      </w:pBdr>
    </w:pPr>
    <w:r>
      <w:rPr>
        <w:rFonts w:ascii="Times New Roman" w:hAnsi="Times New Roman"/>
        <w:color w:val="6B6B66"/>
        <w:sz w:val="16"/>
      </w:rPr>
      <w:t>Rechtsanwaltskanzlei · Az. 512 IN 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