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Ovelgoenne Rechtsanwaltsgesellschaft | Vorlaeufiger Insolvenzverwalter</w:t>
      </w:r>
    </w:p>
    <w:p>
      <w:pPr>
        <w:pStyle w:val="Heading1"/>
      </w:pPr>
      <w:r>
        <w:t>Gutachten zur Insolvenzfaehigkeit und Massekostendeckung</w:t>
      </w:r>
    </w:p>
    <w:p>
      <w:r>
        <w:t>Amtsgericht Duesseldorf, Az. 512 IN 88/26</w:t>
      </w:r>
    </w:p>
    <w:p>
      <w:r>
        <w:t>Gutachten vom 01.09.2026</w:t>
      </w:r>
    </w:p>
    <w:p>
      <w:pPr>
        <w:pStyle w:val="Heading2"/>
      </w:pPr>
      <w:r>
        <w:t>Feststellungen</w:t>
      </w:r>
    </w:p>
    <w:p>
      <w:r>
        <w:t>1. Die Schuldnerin ist zahlungsunfaehig gemaess Paragraf 17 InsO seit dem 06.12.2024 (Anzeige nach Paragraf 32 Abs. 3 StaRUG).</w:t>
      </w:r>
    </w:p>
    <w:p>
      <w:r>
        <w:t>2. Ueberschuldung liegt ebenfalls vor: Aktiva 4.180,00 EUR Kassenbestand gegen Passiva von voraussichtlich 673.858,37 EUR.</w:t>
      </w:r>
    </w:p>
    <w:p>
      <w:r>
        <w:t>3. Die Kosten des Verfahrens (voraussichtlich 9.500,00 EUR) sind durch den vorhandenen Kassenbestand sowie einen Kostenvorschuss der Geschaeftsfuehrung in Hoehe von 6.000,00 EUR gedeckt.</w:t>
      </w:r>
    </w:p>
    <w:p>
      <w:pPr>
        <w:pStyle w:val="Heading2"/>
      </w:pPr>
      <w:r>
        <w:t>Empfehlung</w:t>
      </w:r>
    </w:p>
    <w:p>
      <w:r>
        <w:t>Eroeffnung des Insolvenzverfahrens wird empfohlen. Eine Sanierung scheidet aus, da die Schuldnerin ueber keinen eigenen Geschaeftsbetrieb verfuegt und reine Holdingfunktion hatte.</w:t>
      </w:r>
    </w:p>
    <w:p/>
    <w:p>
      <w:r>
        <w:t>Dr. Markus Ovelgoenne, vorlaeufiger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Duesseldorf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Duesseldorf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Az. 512 IN 88/26 · Az. 512 IN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