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Quirrenbach &amp; Partner mbB | Rechtsanwaelte | Duesseldorf</w:t>
      </w:r>
    </w:p>
    <w:p>
      <w:pPr>
        <w:pStyle w:val="Heading1"/>
      </w:pPr>
      <w:r>
        <w:t>Schlussvermerk zur Handakte</w:t>
      </w:r>
    </w:p>
    <w:p>
      <w:r>
        <w:t>Mandat: Silberweiher Beteiligungs GmbH ./. StaRUG-Aufhebung und Folgeinsolvenz</w:t>
      </w:r>
    </w:p>
    <w:p>
      <w:r>
        <w:t>Verfasst am 12.05.2027 von Rechtsanwalt Dr. Alexander Quirrenbach</w:t>
      </w:r>
    </w:p>
    <w:p>
      <w:pPr>
        <w:pStyle w:val="Heading2"/>
      </w:pPr>
      <w:r>
        <w:t>Zusammenfassung</w:t>
      </w:r>
    </w:p>
    <w:p>
      <w:r>
        <w:t>Die Restrukturierungssache 603 RES 6/24 wurde am 15.01.2025 aufgehoben; die hiergegen gerichteten Rechtsmittel blieben in allen drei Instanzen ohne Erfolg (zuletzt BGH, Beschluss vom 23.04.2026, IX ZB 18/25). Die Schuldnerin zeigte bereits waehrend des Beschwerdeverfahrens die Zahlungsunfaehigkeit an; nach rechtskraeftigem Abschluss des Rechtsbeschwerdeverfahrens wurde am 28.05.2026 Eigenantrag gestellt. Das Insolvenzverfahren (512 IN 88/26) wurde am 03.08.2026 eroeffnet und nach Schlussverteilung mit einer Quote von 0,236 Prozent am 30.04.2027 aufgehoben. Die Schuldnerin ist damit gemaess Paragraf 60 Abs. 1 Nr. 4 GmbHG aufgeloest.</w:t>
      </w:r>
    </w:p>
    <w:p>
      <w:pPr>
        <w:pStyle w:val="Heading2"/>
      </w:pPr>
      <w:r>
        <w:t>Bewertung</w:t>
      </w:r>
    </w:p>
    <w:p>
      <w:r>
        <w:t>Der Fall bestaetigt die vom BGH aufgestellten Massstaebe zu Paragraf 33 Abs. 2 Satz 1 Nr. 1 StaRUG: Ein nicht rechtsverbindlich zugesagter Drittbeitrag genuegt nicht, um von der Aufhebung abzusehen. Das Mandat wird als abgeschlossen zu den Akten genommen.</w:t>
      </w:r>
    </w:p>
    <w:p/>
    <w:p>
      <w:r>
        <w:t>Dr. Alexander Quirrenbach, Rechtsanwalt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Quirrenbach &amp;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QUIRRENBACH &amp; PARTNER MBB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