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Mandatsnotiz – Erstgespräch</w:t>
      </w:r>
    </w:p>
    <w:p>
      <w:pPr>
        <w:jc w:val="left"/>
      </w:pPr>
      <w:r>
        <w:rPr>
          <w:b/>
        </w:rPr>
        <w:t>Mandantin:</w:t>
      </w:r>
      <w:r>
        <w:t xml:space="preserve"> LausitzStorage 200 GmbH i.G., vertreten durch den Geschäftsführer Dipl.-Ing. Karlheinz Bauernfeind</w:t>
      </w:r>
    </w:p>
    <w:p>
      <w:pPr>
        <w:jc w:val="left"/>
      </w:pPr>
      <w:r>
        <w:rPr>
          <w:b/>
        </w:rPr>
        <w:t>Sitz:</w:t>
      </w:r>
      <w:r>
        <w:t xml:space="preserve"> Peitz, Geschäftsanschrift c/o LEAG Immobilien, Industriestraße 1, 03185 Peitz</w:t>
      </w:r>
    </w:p>
    <w:p>
      <w:pPr>
        <w:jc w:val="left"/>
      </w:pPr>
      <w:r>
        <w:rPr>
          <w:b/>
        </w:rPr>
        <w:t>HRB:</w:t>
      </w:r>
      <w:r>
        <w:t xml:space="preserve"> in Eintragung beim Amtsgericht Cottbus</w:t>
      </w:r>
    </w:p>
    <w:p>
      <w:pPr>
        <w:jc w:val="left"/>
      </w:pPr>
      <w:r>
        <w:rPr>
          <w:b/>
        </w:rPr>
        <w:t>Bearbeitung:</w:t>
      </w:r>
      <w:r>
        <w:t xml:space="preserve"> RAin Dr. Friederike Hesselmann-Sauerbruch, Pohlmann &amp; Pohlmann Rechtsanwälte</w:t>
      </w:r>
    </w:p>
    <w:p>
      <w:pPr>
        <w:jc w:val="left"/>
      </w:pPr>
      <w:r>
        <w:rPr>
          <w:b/>
        </w:rPr>
        <w:t>Datum:</w:t>
      </w:r>
      <w:r>
        <w:t xml:space="preserve"> 02.06.2026, 10:00 – 11:45 Uhr, Konferenzraum 3, Cottbus</w:t>
      </w:r>
    </w:p>
    <w:p>
      <w:pPr>
        <w:jc w:val="left"/>
      </w:pPr>
      <w:r>
        <w:rPr>
          <w:b/>
        </w:rPr>
        <w:t>Anwesend:</w:t>
      </w:r>
      <w:r>
        <w:t xml:space="preserve"> Bauernfeind (GF), Petra Lindenthal (CFO i.G.), RAin Hesselmann-Sauerbruch</w:t>
      </w:r>
    </w:p>
    <w:p>
      <w:pPr>
        <w:pStyle w:val="Heading2"/>
      </w:pPr>
      <w:r>
        <w:rPr>
          <w:rFonts w:ascii="Times New Roman" w:hAnsi="Times New Roman"/>
        </w:rPr>
        <w:t>Sachverhalt nach Schilderung Bauernfeind</w:t>
      </w:r>
    </w:p>
    <w:p>
      <w:pPr>
        <w:jc w:val="left"/>
      </w:pPr>
      <w:r>
        <w:t>LausitzStorage 200 GmbH (i.G.) plant einen Batteriegroßspeicher (Lithium-Ionen, 200 MW / 400 MWh) auf der Konversionsfläche „Tagebauanschluss Nord" der LEAG, Gemarkung Peitz, Flur 7, Flurstücke 122/3 und 122/4 (ca. 3,8 ha). Investitionsvolumen rund 142 Mio EUR.</w:t>
      </w:r>
    </w:p>
    <w:p>
      <w:pPr>
        <w:jc w:val="left"/>
      </w:pPr>
      <w:r>
        <w:t>Bauernfeind beschreibt die Lage als „Aktenchaos": 18 Monate Vorlaufphase, drei Geschäftsführerwechsel auf Investorenseite, parallele Verhandlungsstränge mit LEAG, 50Hertz, LfU Brandenburg und zwei Co-Investoren.</w:t>
      </w:r>
    </w:p>
    <w:p>
      <w:pPr>
        <w:pStyle w:val="Heading2"/>
      </w:pPr>
      <w:r>
        <w:rPr>
          <w:rFonts w:ascii="Times New Roman" w:hAnsi="Times New Roman"/>
        </w:rPr>
        <w:t>Akutes Problem</w:t>
      </w:r>
    </w:p>
    <w:p>
      <w:pPr>
        <w:jc w:val="left"/>
      </w:pPr>
      <w:r>
        <w:t xml:space="preserve">Am </w:t>
      </w:r>
      <w:r>
        <w:rPr>
          <w:b/>
        </w:rPr>
        <w:t>22.05.2026</w:t>
      </w:r>
      <w:r>
        <w:t xml:space="preserve"> hat die NordCap Infrastructure Fund SCS (Luxemburg) als Hauptinvestorin einen sogenannten </w:t>
      </w:r>
      <w:r>
        <w:rPr>
          <w:b/>
        </w:rPr>
        <w:t>Drawstop</w:t>
      </w:r>
      <w:r>
        <w:t xml:space="preserve"> ausgesprochen: Die Auszahlung der nächsten Tranche (38 Mio EUR) wurde unter Verweis auf „material adverse change" und „documentation gaps" zurückgehalten.</w:t>
      </w:r>
    </w:p>
    <w:p>
      <w:pPr>
        <w:jc w:val="left"/>
      </w:pPr>
      <w:r>
        <w:t>Parallel droht die LEAG mit Kündigung des Pachtvertrages wegen angeblich verspäteter Vorlage der Genehmigungsunterlagen.</w:t>
      </w:r>
    </w:p>
    <w:p>
      <w:pPr>
        <w:pStyle w:val="Heading2"/>
      </w:pPr>
      <w:r>
        <w:rPr>
          <w:rFonts w:ascii="Times New Roman" w:hAnsi="Times New Roman"/>
        </w:rPr>
        <w:t>Wunsch der Mandantin</w:t>
      </w:r>
    </w:p>
    <w:p>
      <w:pPr>
        <w:pStyle w:val="ListNumber"/>
      </w:pPr>
      <w:r>
        <w:t xml:space="preserve">Vollständige </w:t>
      </w:r>
      <w:r>
        <w:rPr>
          <w:b/>
        </w:rPr>
        <w:t>Bestandsaufnahme aller Verträge und Genehmigungen</w:t>
      </w:r>
      <w:r>
        <w:t xml:space="preserve"> nach dem Step-Plan-Verfahren (Status-Navigator)</w:t>
      </w:r>
    </w:p>
    <w:p>
      <w:pPr>
        <w:pStyle w:val="ListNumber"/>
      </w:pPr>
      <w:r>
        <w:rPr>
          <w:b/>
        </w:rPr>
        <w:t>Excel-Tracker</w:t>
      </w:r>
      <w:r>
        <w:t xml:space="preserve"> mit Reitern Übersicht/Verfügbar/Fehlend/Workflow</w:t>
      </w:r>
    </w:p>
    <w:p>
      <w:pPr>
        <w:pStyle w:val="ListNumber"/>
      </w:pPr>
      <w:r>
        <w:rPr>
          <w:b/>
        </w:rPr>
        <w:t>Strategiepapier</w:t>
      </w:r>
      <w:r>
        <w:t xml:space="preserve"> für die nächsten 14 Tage</w:t>
      </w:r>
    </w:p>
    <w:p>
      <w:pPr>
        <w:pStyle w:val="ListNumber"/>
      </w:pPr>
      <w:r>
        <w:t>Zugangsprüfung des Drawstop-Schreibens (§ 130 BGB)</w:t>
      </w:r>
    </w:p>
    <w:p>
      <w:pPr>
        <w:pStyle w:val="Heading2"/>
      </w:pPr>
      <w:r>
        <w:rPr>
          <w:rFonts w:ascii="Times New Roman" w:hAnsi="Times New Roman"/>
        </w:rPr>
        <w:t>Erste anwaltliche Einschätzung</w:t>
      </w:r>
    </w:p>
    <w:p>
      <w:pPr>
        <w:jc w:val="left"/>
      </w:pPr>
      <w:r>
        <w:t xml:space="preserve">Klassische Status-Navigator-Konstellation: viele Verträge, viele Parteien, kein konsolidierter Überblick, mehrere parallele Krisenherde. </w:t>
      </w:r>
      <w:r>
        <w:rPr>
          <w:b/>
        </w:rPr>
        <w:t>Erst Inventur, dann Strategie.</w:t>
      </w:r>
    </w:p>
    <w:p>
      <w:pPr>
        <w:jc w:val="left"/>
      </w:pPr>
      <w:r>
        <w:t>— RAin Hesselmann-Sauerbruch, 02.06.2026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LausitzStorage 200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LausitzStorage 200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vertreten durch den Geschäftsführer Dipl.-Ing. Karlheinz Bauernfeind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