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Gesellschafterbeschluss vom 17.10.2025</w:t>
      </w:r>
    </w:p>
    <w:p>
      <w:pPr>
        <w:jc w:val="left"/>
      </w:pPr>
      <w:r>
        <w:rPr>
          <w:b/>
        </w:rPr>
        <w:t>Form:</w:t>
      </w:r>
      <w:r>
        <w:t xml:space="preserve"> notarielle Niederschrift</w:t>
      </w:r>
    </w:p>
    <w:p>
      <w:pPr>
        <w:jc w:val="left"/>
      </w:pPr>
      <w:r>
        <w:rPr>
          <w:b/>
        </w:rPr>
        <w:t>Urkundsnummer:</w:t>
      </w:r>
      <w:r>
        <w:t xml:space="preserve"> UR-Nr. 387/2025, Notar Dr. Ramona Albers, Berlin</w:t>
      </w:r>
    </w:p>
    <w:p>
      <w:pPr>
        <w:jc w:val="left"/>
      </w:pPr>
      <w:r>
        <w:rPr>
          <w:b/>
        </w:rPr>
        <w:t>Anwesend:</w:t>
      </w:r>
      <w:r>
        <w:t xml:space="preserve"> alle Gesellschafter (Bauernfeind 51 %, Lindenthal 9 %, NordCap 30 %, Stadtwerke Cottbus 10 %)</w:t>
      </w:r>
    </w:p>
    <w:p>
      <w:pPr>
        <w:pStyle w:val="Heading2"/>
      </w:pPr>
      <w:r>
        <w:rPr>
          <w:rFonts w:ascii="Times New Roman" w:hAnsi="Times New Roman"/>
        </w:rPr>
        <w:t>Beschluss 1 – Kapitalerhöhung</w:t>
      </w:r>
    </w:p>
    <w:p>
      <w:pPr>
        <w:jc w:val="left"/>
      </w:pPr>
      <w:r>
        <w:t>Erhöhung des Stammkapitals von 50.000 EUR auf 78.000 EUR aus genehmigtem Kapital, zur Bedienung künftiger Wandlungen aus dem Wandeldarlehen NordCap (Akte 09).</w:t>
      </w:r>
    </w:p>
    <w:p>
      <w:pPr>
        <w:pStyle w:val="Heading2"/>
      </w:pPr>
      <w:r>
        <w:rPr>
          <w:rFonts w:ascii="Times New Roman" w:hAnsi="Times New Roman"/>
        </w:rPr>
        <w:t>Beschluss 2 – Mittelverwendung Tranche 2</w:t>
      </w:r>
    </w:p>
    <w:p>
      <w:pPr>
        <w:jc w:val="left"/>
      </w:pPr>
      <w:r>
        <w:t>Zustimmung zur Auszahlung und Verwendung der NordCap-Tranche 2 (38 Mio EUR) gemäß Senior-Darlehensvertrag § 6 Abs. 2.</w:t>
      </w:r>
    </w:p>
    <w:p>
      <w:pPr>
        <w:jc w:val="left"/>
      </w:pPr>
      <w:r>
        <w:t>Verwendung: 18 Mio EPC-Anzahlung Sungrow, 8 Mio Netzanschluss-Pauschale 50Hertz, 6 Mio Grunderwerb und Erschließung Nebenflächen, 6 Mio Liquiditätsreserve.</w:t>
      </w:r>
    </w:p>
    <w:p>
      <w:pPr>
        <w:pStyle w:val="Heading2"/>
      </w:pPr>
      <w:r>
        <w:rPr>
          <w:rFonts w:ascii="Times New Roman" w:hAnsi="Times New Roman"/>
        </w:rPr>
        <w:t>Beschluss 3 – Bürgschaft ILB</w:t>
      </w:r>
    </w:p>
    <w:p>
      <w:pPr>
        <w:jc w:val="left"/>
      </w:pPr>
      <w:r>
        <w:t>Genehmigung der Inanspruchnahme des Avalrahmens ILB (10 Mio EUR Rahmen) für Einzelavale gegenüber 50Hertz und LEAG.</w:t>
      </w:r>
    </w:p>
    <w:p>
      <w:pPr>
        <w:pStyle w:val="Heading2"/>
      </w:pPr>
      <w:r>
        <w:rPr>
          <w:rFonts w:ascii="Times New Roman" w:hAnsi="Times New Roman"/>
        </w:rPr>
        <w:t>Unterzeichnung</w:t>
      </w:r>
    </w:p>
    <w:p>
      <w:pPr>
        <w:pStyle w:val="ListBullet"/>
      </w:pPr>
      <w:r>
        <w:t>Notar Albers</w:t>
      </w:r>
    </w:p>
    <w:p>
      <w:pPr>
        <w:pStyle w:val="ListBullet"/>
      </w:pPr>
      <w:r>
        <w:t>Sämtliche Gesellschafter persönlich erschienen (NordCap durch Special Power of Attorney an Berliner Anwaltskanzlei – Vollmacht in Anlage UR 387/2025 Anl. 4)</w:t>
      </w:r>
    </w:p>
    <w:p>
      <w:pPr>
        <w:pStyle w:val="Heading2"/>
      </w:pPr>
      <w:r>
        <w:rPr>
          <w:rFonts w:ascii="Times New Roman" w:hAnsi="Times New Roman"/>
        </w:rPr>
        <w:t>Bedeutung für CP-Erfüllung</w:t>
      </w:r>
    </w:p>
    <w:p>
      <w:pPr>
        <w:jc w:val="left"/>
      </w:pPr>
      <w:r>
        <w:t xml:space="preserve">Dies </w:t>
      </w:r>
      <w:r>
        <w:rPr>
          <w:b/>
        </w:rPr>
        <w:t>ist</w:t>
      </w:r>
      <w:r>
        <w:t xml:space="preserve"> der Beschluss, auf den das Wandeldarlehen (Akte 09) und der Senior-Darlehensvertrag (Akte 08) abstellen wollten. Die Datum-Diskrepanz (14.10. vs. 17.10.) ist auslegungsmäßig zu schließen.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>Notarielle Ausfertigung im Original bei Pohlmann &amp; Pohlmann; Notar führt UR-Buch.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Notar Dr. Ramona Albers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NOTAR DR. RAMONA ALBERS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Berlin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