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Aval-Urkunde ILB zugunsten LEAG Immobilien GmbH</w:t>
      </w:r>
    </w:p>
    <w:p>
      <w:pPr>
        <w:jc w:val="left"/>
      </w:pPr>
      <w:r>
        <w:rPr>
          <w:b/>
        </w:rPr>
        <w:t>Datum:</w:t>
      </w:r>
      <w:r>
        <w:t xml:space="preserve"> 22.05.2026</w:t>
      </w:r>
    </w:p>
    <w:p>
      <w:pPr>
        <w:jc w:val="left"/>
      </w:pPr>
      <w:r>
        <w:rPr>
          <w:b/>
        </w:rPr>
        <w:t>Avalsumme:</w:t>
      </w:r>
      <w:r>
        <w:t xml:space="preserve"> 84.000 EUR (= eine Jahrespacht, gemäß § 11 Pachtvertrag, Akte 03)</w:t>
      </w:r>
    </w:p>
    <w:p>
      <w:pPr>
        <w:jc w:val="left"/>
      </w:pPr>
      <w:r>
        <w:rPr>
          <w:b/>
        </w:rPr>
        <w:t>Form:</w:t>
      </w:r>
      <w:r>
        <w:t xml:space="preserve"> selbstschuldnerische Bürgschaft, unter Verzicht auf die Einreden der Vorausklage und Aufrechenbarkeit</w:t>
      </w:r>
    </w:p>
    <w:p>
      <w:pPr>
        <w:pStyle w:val="Heading2"/>
      </w:pPr>
      <w:r>
        <w:rPr>
          <w:rFonts w:ascii="Times New Roman" w:hAnsi="Times New Roman"/>
        </w:rPr>
        <w:t>Aushändigungsstatus</w:t>
      </w:r>
    </w:p>
    <w:p>
      <w:pPr>
        <w:jc w:val="left"/>
      </w:pPr>
      <w:r>
        <w:t xml:space="preserve">Aval-Urkunde am 22.05.2026 von ILB an LausitzStorage versandt. </w:t>
      </w:r>
      <w:r>
        <w:rPr>
          <w:b/>
        </w:rPr>
        <w:t>Übergabe an LEAG bislang nicht erfolgt</w:t>
      </w:r>
      <w:r>
        <w:t xml:space="preserve"> – soll im Rahmen des Klarstellungsschreibens (siehe Strategie) zusammen mit weiteren Heilungsschritten erfolgen, </w:t>
      </w:r>
      <w:r>
        <w:rPr>
          <w:b/>
        </w:rPr>
        <w:t>spätestens binnen 90 Tagen nach Pachtvertragsschluss</w:t>
      </w:r>
      <w:r>
        <w:t xml:space="preserve"> (= 11.07.2025 + 90 = 09.10.2025).</w:t>
      </w:r>
    </w:p>
    <w:p>
      <w:pPr>
        <w:jc w:val="left"/>
      </w:pPr>
      <w:r>
        <w:t xml:space="preserve">⚠️ </w:t>
      </w:r>
      <w:r>
        <w:rPr>
          <w:b/>
        </w:rPr>
        <w:t>Achtung – Frist bereits verstrichen!</w:t>
      </w:r>
      <w:r>
        <w:t xml:space="preserve"> Bürgschaftsfrist nach § 11 Pachtvertrag war </w:t>
      </w:r>
      <w:r>
        <w:rPr>
          <w:b/>
        </w:rPr>
        <w:t>09.10.2025</w:t>
      </w:r>
      <w:r>
        <w:t>. Die LEAG hat bislang die Verspätung nicht zum Anlass für eine Kündigung genommen, aber sie könnte – das ist Munition für die LEAG-Kündigungsdrohung.</w:t>
      </w:r>
    </w:p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pStyle w:val="ListBullet"/>
      </w:pPr>
      <w:r>
        <w:t xml:space="preserve">Aval-Urkunde </w:t>
      </w:r>
      <w:r>
        <w:rPr>
          <w:b/>
        </w:rPr>
        <w:t>unverzüglich an LEAG übergeben</w:t>
      </w:r>
      <w:r>
        <w:t xml:space="preserve"> (Bote, Empfangsbestätigung)</w:t>
      </w:r>
    </w:p>
    <w:p>
      <w:pPr>
        <w:pStyle w:val="ListBullet"/>
      </w:pPr>
      <w:r>
        <w:t>Begleitschreiben mit Hinweis auf entschuldbare Verspätung (Förderprogramm ILB-Komitee-Termine)</w:t>
      </w:r>
    </w:p>
    <w:p>
      <w:pPr>
        <w:pStyle w:val="ListBullet"/>
      </w:pPr>
      <w:r>
        <w:t>Nachfristbegehren der LEAG vor Kündigung (§ 314 Abs. 2 BGB) – LEAG müsste vor Kündigung Nachfrist setzen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LEAG Immobilien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LEAG Immobilien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