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Unterschriftsprüfung – Sammelbefund</w:t>
      </w:r>
    </w:p>
    <w:p>
      <w:pPr>
        <w:jc w:val="left"/>
      </w:pPr>
      <w:r>
        <w:rPr>
          <w:b/>
        </w:rPr>
        <w:t>Datum:</w:t>
      </w:r>
      <w:r>
        <w:t xml:space="preserve"> 04.06.2026</w:t>
      </w:r>
    </w:p>
    <w:p>
      <w:pPr>
        <w:jc w:val="left"/>
      </w:pPr>
      <w:r>
        <w:rPr>
          <w:b/>
        </w:rPr>
        <w:t>Methode:</w:t>
      </w:r>
      <w:r>
        <w:t xml:space="preserve"> Abgleich Vertragsunterzeichnungen ./. Handelsregisterauszüge ./. Erteilte Prokuren</w:t>
      </w:r>
    </w:p>
    <w:p>
      <w:pPr>
        <w:pStyle w:val="Heading2"/>
      </w:pPr>
      <w:r>
        <w:rPr>
          <w:rFonts w:ascii="Times New Roman" w:hAnsi="Times New Roman"/>
        </w:rPr>
        <w:t>Befunde</w:t>
      </w:r>
    </w:p>
    <w:p>
      <w:pPr>
        <w:pStyle w:val="Heading3"/>
      </w:pPr>
      <w:r>
        <w:rPr>
          <w:rFonts w:ascii="Times New Roman" w:hAnsi="Times New Roman"/>
        </w:rPr>
        <w:t>LEAG Immobilien GmbH</w:t>
      </w:r>
    </w:p>
    <w:p>
      <w:pPr>
        <w:pStyle w:val="ListBullet"/>
      </w:pPr>
      <w:r>
        <w:rPr>
          <w:b/>
        </w:rPr>
        <w:t>Pachtvertrag (Akte 03)</w:t>
      </w:r>
      <w:r>
        <w:t xml:space="preserve">: Vansel (GF) + Kosturek (Prokuristin ppa.) → </w:t>
      </w:r>
      <w:r>
        <w:rPr>
          <w:b/>
        </w:rPr>
        <w:t>prokuragerecht</w:t>
      </w:r>
      <w:r>
        <w:t xml:space="preserve"> (HRB 8217 Cottbus, Vansel: Einzelvertretung NICHT befreit; Kosturek: Gesamtprokura mit GF) ✅</w:t>
      </w:r>
    </w:p>
    <w:p>
      <w:pPr>
        <w:pStyle w:val="ListBullet"/>
      </w:pPr>
      <w:r>
        <w:rPr>
          <w:b/>
        </w:rPr>
        <w:t>1. Nachtrag (Akte 04)</w:t>
      </w:r>
      <w:r>
        <w:t xml:space="preserve">: Kosturek allein – </w:t>
      </w:r>
      <w:r>
        <w:rPr>
          <w:b/>
        </w:rPr>
        <w:t>PROBLEMATISCH</w:t>
      </w:r>
      <w:r>
        <w:t xml:space="preserve">: Gesamtprokura mit GF erforderlich; Vansel-Unterschrift nicht vorhanden. → § 177 BGB schwebend unwirksam. </w:t>
      </w:r>
      <w:r>
        <w:rPr>
          <w:b/>
        </w:rPr>
        <w:t>Heilung</w:t>
      </w:r>
      <w:r>
        <w:t xml:space="preserve"> durch Genehmigung Vansel erforderlich</w:t>
      </w:r>
    </w:p>
    <w:p>
      <w:pPr>
        <w:pStyle w:val="ListBullet"/>
      </w:pPr>
      <w:r>
        <w:rPr>
          <w:b/>
        </w:rPr>
        <w:t>2. Nachtrag (Akte 05)</w:t>
      </w:r>
      <w:r>
        <w:t xml:space="preserve">: Vansel allein – </w:t>
      </w:r>
      <w:r>
        <w:rPr>
          <w:b/>
        </w:rPr>
        <w:t>PROBLEMATISCH</w:t>
      </w:r>
      <w:r>
        <w:t xml:space="preserve">: Vansel nur „gemeinschaftlich mit weiterem GF oder Prokuristen" (HRB 8217). → wieder § 177 BGB. </w:t>
      </w:r>
      <w:r>
        <w:rPr>
          <w:b/>
        </w:rPr>
        <w:t>Heilung</w:t>
      </w:r>
      <w:r>
        <w:t xml:space="preserve"> durch Mitzeichnung Kosturek erforderlich</w:t>
      </w:r>
    </w:p>
    <w:p>
      <w:pPr>
        <w:pStyle w:val="Heading3"/>
      </w:pPr>
      <w:r>
        <w:rPr>
          <w:rFonts w:ascii="Times New Roman" w:hAnsi="Times New Roman"/>
        </w:rPr>
        <w:t>NordCap Infrastructure Fund SCS</w:t>
      </w:r>
    </w:p>
    <w:p>
      <w:pPr>
        <w:pStyle w:val="ListBullet"/>
      </w:pPr>
      <w:r>
        <w:t xml:space="preserve">Senior-Darlehensvertrag (Akte 08), Wandeldarlehen (Akte 09): Le Bouëdec (Director) + Kraft (Authorized Signatory) → </w:t>
      </w:r>
      <w:r>
        <w:rPr>
          <w:b/>
        </w:rPr>
        <w:t>vollständig</w:t>
      </w:r>
      <w:r>
        <w:t xml:space="preserve"> gemäß Luxemburger Companies House (vermerk LBR-2024-12345) ✅</w:t>
      </w:r>
    </w:p>
    <w:p>
      <w:pPr>
        <w:pStyle w:val="Heading3"/>
      </w:pPr>
      <w:r>
        <w:rPr>
          <w:rFonts w:ascii="Times New Roman" w:hAnsi="Times New Roman"/>
        </w:rPr>
        <w:t>LausitzStorage 200 GmbH i.G.</w:t>
      </w:r>
    </w:p>
    <w:p>
      <w:pPr>
        <w:pStyle w:val="ListBullet"/>
      </w:pPr>
      <w:r>
        <w:t>Sämtliche Verträge: Bauernfeind (alleinvertretungsbefugt, ausweislich Gesellschaftsvertrag § 6 Abs. 2) ✅</w:t>
      </w:r>
    </w:p>
    <w:p>
      <w:pPr>
        <w:pStyle w:val="ListBullet"/>
      </w:pPr>
      <w:r>
        <w:t>HRB-Eintragung steht aber noch aus (Akte 23, fehlend)</w:t>
      </w:r>
    </w:p>
    <w:p>
      <w:pPr>
        <w:pStyle w:val="Heading3"/>
      </w:pPr>
      <w:r>
        <w:rPr>
          <w:rFonts w:ascii="Times New Roman" w:hAnsi="Times New Roman"/>
        </w:rPr>
        <w:t>50Hertz</w:t>
      </w:r>
    </w:p>
    <w:p>
      <w:pPr>
        <w:pStyle w:val="ListBullet"/>
      </w:pPr>
      <w:r>
        <w:t xml:space="preserve">Netzanschlussvertrag (Akte 06): zwei Prokuristen ppa. → </w:t>
      </w:r>
      <w:r>
        <w:rPr>
          <w:b/>
        </w:rPr>
        <w:t>vollständig</w:t>
      </w:r>
      <w:r>
        <w:t xml:space="preserve"> (gem. Vollmacht-Hinterlegung gem. § 81 HGB) ✅</w:t>
      </w:r>
    </w:p>
    <w:p>
      <w:pPr>
        <w:pStyle w:val="Heading3"/>
      </w:pPr>
      <w:r>
        <w:rPr>
          <w:rFonts w:ascii="Times New Roman" w:hAnsi="Times New Roman"/>
        </w:rPr>
        <w:t>Stadtwerke Cottbus</w:t>
      </w:r>
    </w:p>
    <w:p>
      <w:pPr>
        <w:pStyle w:val="ListBullet"/>
      </w:pPr>
      <w:r>
        <w:t xml:space="preserve">Konsortialvertrag (Akte 11): Müller (GF) + Brandt (Aufsichtsratsvorsitzender) → </w:t>
      </w:r>
      <w:r>
        <w:rPr>
          <w:b/>
        </w:rPr>
        <w:t>prokuragerecht</w:t>
      </w:r>
      <w:r>
        <w:t xml:space="preserve"> ✅</w:t>
      </w:r>
    </w:p>
    <w:p>
      <w:pPr>
        <w:pStyle w:val="Heading2"/>
      </w:pPr>
      <w:r>
        <w:rPr>
          <w:rFonts w:ascii="Times New Roman" w:hAnsi="Times New Roman"/>
        </w:rPr>
        <w:t>Heilungsbedarf</w:t>
      </w:r>
    </w:p>
    <w:p>
      <w:pPr>
        <w:jc w:val="left"/>
      </w:pPr>
      <w:r>
        <w:t xml:space="preserve">2 Stellen: 1. Nachtrag (Kosturek allein) + 2. Nachtrag (Vansel allein). </w:t>
      </w:r>
      <w:r>
        <w:rPr>
          <w:b/>
        </w:rPr>
        <w:t>Genehmigung jeweils des fehlenden Mitzeichners gemäß § 177 BGB.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LEAG Immobilien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LEAG Immobilien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