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Sicherheitenpoolvertrag NordCap ./. ILB ./. LausitzStorage 200</w:t>
      </w:r>
    </w:p>
    <w:p>
      <w:pPr>
        <w:jc w:val="left"/>
      </w:pPr>
      <w:r>
        <w:rPr>
          <w:b/>
        </w:rPr>
        <w:t>Datum:</w:t>
      </w:r>
      <w:r>
        <w:t xml:space="preserve"> 04.09.2025 (gleicher Tag wie Senior- und Wandeldarlehen Akten 08/09)</w:t>
      </w:r>
    </w:p>
    <w:p>
      <w:pPr>
        <w:jc w:val="left"/>
      </w:pPr>
      <w:r>
        <w:rPr>
          <w:b/>
        </w:rPr>
        <w:t>Form:</w:t>
      </w:r>
      <w:r>
        <w:t xml:space="preserve"> privatschriftlich, in dreifacher Ausfertigung</w:t>
      </w:r>
    </w:p>
    <w:p>
      <w:pPr>
        <w:jc w:val="left"/>
      </w:pPr>
      <w:r>
        <w:rPr>
          <w:b/>
        </w:rPr>
        <w:t>Vertragsparteien:</w:t>
      </w:r>
    </w:p>
    <w:p>
      <w:pPr>
        <w:pStyle w:val="ListBullet"/>
      </w:pPr>
      <w:r>
        <w:t>NordCap Infrastructure Fund SCS, 25 Avenue de la Liberté, L-1931 Luxembourg, vertreten durch Pierre Le Bouëdec und Marisa Kraft (Senior Lender, „Tranche-1-Sicherheitennehmer")</w:t>
      </w:r>
    </w:p>
    <w:p>
      <w:pPr>
        <w:pStyle w:val="ListBullet"/>
      </w:pPr>
      <w:r>
        <w:t>Investitionsbank des Landes Brandenburg (ILB), Babelsberger Straße 21, 14473 Potsdam, vertreten durch Dr. Andreas Junker (Avalgeber, „Avalsicherheitennehmer")</w:t>
      </w:r>
    </w:p>
    <w:p>
      <w:pPr>
        <w:pStyle w:val="ListBullet"/>
      </w:pPr>
      <w:r>
        <w:t>LausitzStorage 200 GmbH i.G., HRB 12217 Cottbus, vertreten durch Karlheinz Bauernfeind (Sicherheitenbestellerin)</w:t>
      </w:r>
    </w:p>
    <w:p>
      <w:pPr>
        <w:jc w:val="left"/>
      </w:pPr>
      <w:r>
        <w:rPr>
          <w:b/>
        </w:rPr>
        <w:t>Treuhänder (Security Agent):</w:t>
      </w:r>
      <w:r>
        <w:t xml:space="preserve"> Federfuchs Knöterich &amp; Partner LLP Frankfurt, Mainzer Landstraße 16, 60325 Frankfurt am Main, Kontaktpartner Dr. Manfred Heiko Burwitz</w:t>
      </w:r>
    </w:p>
    <w:p>
      <w:pPr>
        <w:pStyle w:val="Heading2"/>
      </w:pPr>
      <w:r>
        <w:rPr>
          <w:rFonts w:ascii="Times New Roman" w:hAnsi="Times New Roman"/>
        </w:rPr>
        <w:t>Präambel</w:t>
      </w:r>
    </w:p>
    <w:p>
      <w:pPr>
        <w:ind w:left="567"/>
      </w:pPr>
      <w:r>
        <w:rPr>
          <w:i/>
        </w:rPr>
        <w:t>„Die Sicherheitenbestellerin nimmt von der NordCap ein Senior-Darlehen über 96 Mio EUR (Akte 08) sowie ein Wandeldarlehen über 18 Mio EUR (Akte 09) in Anspruch. Die ILB stellt einen Avalrahmen über 10 Mio EUR (Akte 12) zur Verfügung. Beide Finanzierer verlangen Sicherheiten am gleichen Sicherheitenpool. Zur Vermeidung wechselseitiger Verwertungskonflikte wird die Verteilungsrangfolge in diesem Vertrag geregelt."</w:t>
      </w:r>
    </w:p>
    <w:p>
      <w:pPr>
        <w:pStyle w:val="Heading2"/>
      </w:pPr>
      <w:r>
        <w:rPr>
          <w:rFonts w:ascii="Times New Roman" w:hAnsi="Times New Roman"/>
        </w:rPr>
        <w:t>§ 1 Pool-Sicherheiten</w:t>
      </w:r>
    </w:p>
    <w:p>
      <w:pPr>
        <w:jc w:val="left"/>
      </w:pPr>
      <w:r>
        <w:t>Sämtliche von der Sicherheitenbestellerin gestellten und im Folgenden aufgezählten Sicherheiten werden ausschließlich an Federfuchs Knöterich &amp; Partner LLP als Security Agent für Rechnung und Treuhand der Pool-Berechtigten bestellt:</w:t>
      </w:r>
    </w:p>
    <w:p>
      <w:pPr>
        <w:pStyle w:val="ListNumber"/>
      </w:pPr>
      <w:r>
        <w:rPr>
          <w:b/>
        </w:rPr>
        <w:t>Kontoverpfändung</w:t>
      </w:r>
      <w:r>
        <w:t xml:space="preserve"> (Akte 35) — Geschäftskonten LausitzStorage bei Commerzbank Cottbus, BLZ 18040000, Konten 0123456700 (Betriebskonto) und 0123456701 (Projektkonto).</w:t>
      </w:r>
    </w:p>
    <w:p>
      <w:pPr>
        <w:pStyle w:val="ListNumber"/>
      </w:pPr>
      <w:r>
        <w:rPr>
          <w:b/>
        </w:rPr>
        <w:t>Globalzession Pachtforderungen</w:t>
      </w:r>
      <w:r>
        <w:t xml:space="preserve"> (Akte 36) — Abtretung sämtlicher Forderungen der LausitzStorage gegen LEAG Immobilien GmbH aus dem Pachtvertrag (Akte 03).</w:t>
      </w:r>
    </w:p>
    <w:p>
      <w:pPr>
        <w:pStyle w:val="ListNumber"/>
      </w:pPr>
      <w:r>
        <w:rPr>
          <w:b/>
        </w:rPr>
        <w:t>Sicherungsabtretung Stromerlöse</w:t>
      </w:r>
      <w:r>
        <w:t xml:space="preserve"> — Abtretung künftiger Forderungen aus PPA/Strommarktverträgen, die noch nicht abgeschlossen sind; bedingte Abtretung nach § 158 Abs. 1 BGB.</w:t>
      </w:r>
    </w:p>
    <w:p>
      <w:pPr>
        <w:pStyle w:val="ListNumber"/>
      </w:pPr>
      <w:r>
        <w:rPr>
          <w:b/>
        </w:rPr>
        <w:t>Verpfändung Gesellschaftsanteile</w:t>
      </w:r>
      <w:r>
        <w:t xml:space="preserve"> — sämtliche Geschäftsanteile der LausitzStorage 200 GmbH werden durch die Gesellschafter verpfändet (Bauernfeind 51 %, Lindenthal 9 %, NordCap 30 %, Stadtwerke 10 %). Notarielle Form gemäß § 15 Abs. 3 GmbHG, separate Urkunde UR 388/2025 Notar Dr. Albers.</w:t>
      </w:r>
    </w:p>
    <w:p>
      <w:pPr>
        <w:pStyle w:val="ListNumber"/>
      </w:pPr>
      <w:r>
        <w:rPr>
          <w:b/>
        </w:rPr>
        <w:t>Sicherungsabtretung EPC-Mängelgewährleistung</w:t>
      </w:r>
      <w:r>
        <w:t xml:space="preserve"> — gegen Sungrow Deutschland GmbH aus EPC-Vertrag.</w:t>
      </w:r>
    </w:p>
    <w:p>
      <w:pPr>
        <w:pStyle w:val="ListNumber"/>
      </w:pPr>
      <w:r>
        <w:rPr>
          <w:b/>
        </w:rPr>
        <w:t>Sicherungsübereignung Modul- und Wechselrichterbestand</w:t>
      </w:r>
      <w:r>
        <w:t xml:space="preserve"> — sämtliche auf dem Baufeld befindlichen Speicher- und Steuerungskomponenten.</w:t>
      </w:r>
    </w:p>
    <w:p>
      <w:pPr>
        <w:pStyle w:val="Heading2"/>
      </w:pPr>
      <w:r>
        <w:rPr>
          <w:rFonts w:ascii="Times New Roman" w:hAnsi="Times New Roman"/>
        </w:rPr>
        <w:t>§ 2 Rangfolge der Befriedigung</w:t>
      </w:r>
    </w:p>
    <w:p>
      <w:pPr>
        <w:jc w:val="left"/>
      </w:pPr>
      <w:r>
        <w:t>Im Verwertungsfall wird der Erlös vom Security Agent in folgender Reihenfolge ausgekehrt: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Rang</w:t>
            </w:r>
          </w:p>
        </w:tc>
        <w:tc>
          <w:tcPr>
            <w:tcW w:type="dxa" w:w="3024"/>
          </w:tcPr>
          <w:p>
            <w:r>
              <w:rPr>
                <w:rFonts w:ascii="Times New Roman" w:hAnsi="Times New Roman"/>
                <w:b/>
                <w:sz w:val="20"/>
              </w:rPr>
              <w:t>Berechtigter</w:t>
            </w:r>
          </w:p>
        </w:tc>
        <w:tc>
          <w:tcPr>
            <w:tcW w:type="dxa" w:w="3024"/>
          </w:tcPr>
          <w:p>
            <w:r>
              <w:rPr>
                <w:rFonts w:ascii="Times New Roman" w:hAnsi="Times New Roman"/>
                <w:b/>
                <w:sz w:val="20"/>
              </w:rPr>
              <w:t>Sicherungsbetrag</w:t>
            </w:r>
          </w:p>
        </w:tc>
      </w:tr>
      <w:tr>
        <w:tc>
          <w:tcPr>
            <w:tcW w:type="dxa" w:w="3024"/>
          </w:tcPr>
          <w:p>
            <w:r>
              <w:rPr>
                <w:rFonts w:ascii="Times New Roman" w:hAnsi="Times New Roman"/>
                <w:sz w:val="20"/>
              </w:rPr>
              <w:t>1</w:t>
            </w:r>
          </w:p>
        </w:tc>
        <w:tc>
          <w:tcPr>
            <w:tcW w:type="dxa" w:w="3024"/>
          </w:tcPr>
          <w:p>
            <w:r>
              <w:rPr>
                <w:rFonts w:ascii="Times New Roman" w:hAnsi="Times New Roman"/>
                <w:sz w:val="20"/>
              </w:rPr>
              <w:t>ILB — soweit aus Einzelaval LEAG gezogen</w:t>
            </w:r>
          </w:p>
        </w:tc>
        <w:tc>
          <w:tcPr>
            <w:tcW w:type="dxa" w:w="3024"/>
          </w:tcPr>
          <w:p>
            <w:r>
              <w:rPr>
                <w:rFonts w:ascii="Times New Roman" w:hAnsi="Times New Roman"/>
                <w:sz w:val="20"/>
              </w:rPr>
              <w:t>bis 84.000 EUR</w:t>
            </w:r>
          </w:p>
        </w:tc>
      </w:tr>
      <w:tr>
        <w:tc>
          <w:tcPr>
            <w:tcW w:type="dxa" w:w="3024"/>
          </w:tcPr>
          <w:p>
            <w:r>
              <w:rPr>
                <w:rFonts w:ascii="Times New Roman" w:hAnsi="Times New Roman"/>
                <w:sz w:val="20"/>
              </w:rPr>
              <w:t>2</w:t>
            </w:r>
          </w:p>
        </w:tc>
        <w:tc>
          <w:tcPr>
            <w:tcW w:type="dxa" w:w="3024"/>
          </w:tcPr>
          <w:p>
            <w:r>
              <w:rPr>
                <w:rFonts w:ascii="Times New Roman" w:hAnsi="Times New Roman"/>
                <w:sz w:val="20"/>
              </w:rPr>
              <w:t>ILB — soweit aus Einzelaval 50Hertz gezogen</w:t>
            </w:r>
          </w:p>
        </w:tc>
        <w:tc>
          <w:tcPr>
            <w:tcW w:type="dxa" w:w="3024"/>
          </w:tcPr>
          <w:p>
            <w:r>
              <w:rPr>
                <w:rFonts w:ascii="Times New Roman" w:hAnsi="Times New Roman"/>
                <w:sz w:val="20"/>
              </w:rPr>
              <w:t>bis 4.400.000 EUR</w:t>
            </w:r>
          </w:p>
        </w:tc>
      </w:tr>
      <w:tr>
        <w:tc>
          <w:tcPr>
            <w:tcW w:type="dxa" w:w="3024"/>
          </w:tcPr>
          <w:p>
            <w:r>
              <w:rPr>
                <w:rFonts w:ascii="Times New Roman" w:hAnsi="Times New Roman"/>
                <w:sz w:val="20"/>
              </w:rPr>
              <w:t>3</w:t>
            </w:r>
          </w:p>
        </w:tc>
        <w:tc>
          <w:tcPr>
            <w:tcW w:type="dxa" w:w="3024"/>
          </w:tcPr>
          <w:p>
            <w:r>
              <w:rPr>
                <w:rFonts w:ascii="Times New Roman" w:hAnsi="Times New Roman"/>
                <w:sz w:val="20"/>
              </w:rPr>
              <w:t>NordCap Senior-Darlehen (Akte 08)</w:t>
            </w:r>
          </w:p>
        </w:tc>
        <w:tc>
          <w:tcPr>
            <w:tcW w:type="dxa" w:w="3024"/>
          </w:tcPr>
          <w:p>
            <w:r>
              <w:rPr>
                <w:rFonts w:ascii="Times New Roman" w:hAnsi="Times New Roman"/>
                <w:sz w:val="20"/>
              </w:rPr>
              <w:t>bis 96.000.000 EUR + Zinsen</w:t>
            </w:r>
          </w:p>
        </w:tc>
      </w:tr>
      <w:tr>
        <w:tc>
          <w:tcPr>
            <w:tcW w:type="dxa" w:w="3024"/>
          </w:tcPr>
          <w:p>
            <w:r>
              <w:rPr>
                <w:rFonts w:ascii="Times New Roman" w:hAnsi="Times New Roman"/>
                <w:sz w:val="20"/>
              </w:rPr>
              <w:t>4</w:t>
            </w:r>
          </w:p>
        </w:tc>
        <w:tc>
          <w:tcPr>
            <w:tcW w:type="dxa" w:w="3024"/>
          </w:tcPr>
          <w:p>
            <w:r>
              <w:rPr>
                <w:rFonts w:ascii="Times New Roman" w:hAnsi="Times New Roman"/>
                <w:sz w:val="20"/>
              </w:rPr>
              <w:t>NordCap Wandeldarlehen (Akte 09), soweit nicht gewandelt</w:t>
            </w:r>
          </w:p>
        </w:tc>
        <w:tc>
          <w:tcPr>
            <w:tcW w:type="dxa" w:w="3024"/>
          </w:tcPr>
          <w:p>
            <w:r>
              <w:rPr>
                <w:rFonts w:ascii="Times New Roman" w:hAnsi="Times New Roman"/>
                <w:sz w:val="20"/>
              </w:rPr>
              <w:t>bis 18.000.000 EUR + Zinsen</w:t>
            </w:r>
          </w:p>
        </w:tc>
      </w:tr>
      <w:tr>
        <w:tc>
          <w:tcPr>
            <w:tcW w:type="dxa" w:w="3024"/>
          </w:tcPr>
          <w:p>
            <w:r>
              <w:rPr>
                <w:rFonts w:ascii="Times New Roman" w:hAnsi="Times New Roman"/>
                <w:sz w:val="20"/>
              </w:rPr>
              <w:t>5</w:t>
            </w:r>
          </w:p>
        </w:tc>
        <w:tc>
          <w:tcPr>
            <w:tcW w:type="dxa" w:w="3024"/>
          </w:tcPr>
          <w:p>
            <w:r>
              <w:rPr>
                <w:rFonts w:ascii="Times New Roman" w:hAnsi="Times New Roman"/>
                <w:sz w:val="20"/>
              </w:rPr>
              <w:t>Etwaige Restbeträge an Sicherheitenbestellerin</w:t>
            </w:r>
          </w:p>
        </w:tc>
        <w:tc>
          <w:tcPr>
            <w:tcW w:type="dxa" w:w="3024"/>
          </w:tcPr>
          <w:p/>
        </w:tc>
      </w:tr>
    </w:tbl>
    <w:p>
      <w:pPr>
        <w:jc w:val="left"/>
      </w:pPr>
      <w:r>
        <w:t>ILB ist also vor NordCap zu befriedigen, soweit Avale tatsächlich in Anspruch genommen wurden. Bei nicht gezogenen Avalen entfällt der ILB-Vorrang.</w:t>
      </w:r>
    </w:p>
    <w:p>
      <w:pPr>
        <w:pStyle w:val="Heading2"/>
      </w:pPr>
      <w:r>
        <w:rPr>
          <w:rFonts w:ascii="Times New Roman" w:hAnsi="Times New Roman"/>
        </w:rPr>
        <w:t>§ 3 Pari-passu-Klausel innerhalb der NordCap-Tranchen</w:t>
      </w:r>
    </w:p>
    <w:p>
      <w:pPr>
        <w:jc w:val="left"/>
      </w:pPr>
      <w:r>
        <w:t>Senior- und Wandeldarlehen sind untereinander gleichrangig (pari passu); Befriedigung pro rata, falls Erlös nicht ausreicht.</w:t>
      </w:r>
    </w:p>
    <w:p>
      <w:pPr>
        <w:pStyle w:val="Heading2"/>
      </w:pPr>
      <w:r>
        <w:rPr>
          <w:rFonts w:ascii="Times New Roman" w:hAnsi="Times New Roman"/>
        </w:rPr>
        <w:t>§ 4 Materielle Voraussetzungen für die Verwertung</w:t>
      </w:r>
    </w:p>
    <w:p>
      <w:pPr>
        <w:pStyle w:val="ListBullet"/>
      </w:pPr>
      <w:r>
        <w:t xml:space="preserve">Vorliegen eines Sicherungsfalls (Drawstop-Schreiben Akte 13 ist </w:t>
      </w:r>
      <w:r>
        <w:rPr>
          <w:b/>
        </w:rPr>
        <w:t>kein</w:t>
      </w:r>
      <w:r>
        <w:t xml:space="preserve"> Sicherungsfall im Sinne dieses Vertrages; Sicherungsfall erfordert fällige, nicht erfüllte Hauptforderung)</w:t>
      </w:r>
    </w:p>
    <w:p>
      <w:pPr>
        <w:pStyle w:val="ListBullet"/>
      </w:pPr>
      <w:r>
        <w:t>Schriftliche Verwertungsanzeige an die Sicherheitenbestellerin mit 14-Tage-Frist</w:t>
      </w:r>
    </w:p>
    <w:p>
      <w:pPr>
        <w:pStyle w:val="ListBullet"/>
      </w:pPr>
      <w:r>
        <w:t>Stimmenmehrheit der Pool-Berechtigten nach Beträgen</w:t>
      </w:r>
    </w:p>
    <w:p>
      <w:pPr>
        <w:pStyle w:val="Heading2"/>
      </w:pPr>
      <w:r>
        <w:rPr>
          <w:rFonts w:ascii="Times New Roman" w:hAnsi="Times New Roman"/>
        </w:rPr>
        <w:t>§ 5 Vergütung Security Agent</w:t>
      </w:r>
    </w:p>
    <w:p>
      <w:pPr>
        <w:jc w:val="left"/>
      </w:pPr>
      <w:r>
        <w:t>Federfuchs Knöterich &amp; Partner erhält jährlich pauschal 18.500 EUR zzgl. USt; im Verwertungsfall zusätzlich Stundensatz 580 EUR. Verauslagung durch LausitzStorage.</w:t>
      </w:r>
    </w:p>
    <w:p>
      <w:pPr>
        <w:pStyle w:val="Heading2"/>
      </w:pPr>
      <w:r>
        <w:rPr>
          <w:rFonts w:ascii="Times New Roman" w:hAnsi="Times New Roman"/>
        </w:rPr>
        <w:t>§ 6 Folgen für die Drawstop-Krise</w:t>
      </w:r>
    </w:p>
    <w:p>
      <w:pPr>
        <w:jc w:val="left"/>
      </w:pPr>
      <w:r>
        <w:t xml:space="preserve">§ 7 Abs. 4 Senior-Darlehensvertrag (MAC) ist von diesem Vertrag unberührt. NordCap kann unter MAC weiterhin Drawstop ausrufen, ohne den Sicherungsfall auslösen zu müssen — d.h. der Status nach Akte 13 ist </w:t>
      </w:r>
      <w:r>
        <w:rPr>
          <w:b/>
        </w:rPr>
        <w:t>finanzierungs-, nicht sicherungsbezogen</w:t>
      </w:r>
      <w:r>
        <w:t xml:space="preserve">. Federfuchs Knöterich &amp; Partner hat im Status quo </w:t>
      </w:r>
      <w:r>
        <w:rPr>
          <w:b/>
        </w:rPr>
        <w:t>nichts</w:t>
      </w:r>
      <w:r>
        <w:t xml:space="preserve"> zu verwerten.</w:t>
      </w:r>
    </w:p>
    <w:p>
      <w:pPr>
        <w:pStyle w:val="Heading2"/>
      </w:pPr>
      <w:r>
        <w:rPr>
          <w:rFonts w:ascii="Times New Roman" w:hAnsi="Times New Roman"/>
        </w:rPr>
        <w:t>§ 7 Allgemeine Bestimmungen</w:t>
      </w:r>
    </w:p>
    <w:p>
      <w:pPr>
        <w:pStyle w:val="ListBullet"/>
      </w:pPr>
      <w:r>
        <w:t>Schriftform für Änderungen</w:t>
      </w:r>
    </w:p>
    <w:p>
      <w:pPr>
        <w:pStyle w:val="ListBullet"/>
      </w:pPr>
      <w:r>
        <w:t>Gerichtsstand: Frankfurt am Main</w:t>
      </w:r>
    </w:p>
    <w:p>
      <w:pPr>
        <w:pStyle w:val="ListBullet"/>
      </w:pPr>
      <w:r>
        <w:t>Anwendbares Recht: deutsches Recht</w:t>
      </w:r>
    </w:p>
    <w:p>
      <w:pPr>
        <w:pStyle w:val="ListBullet"/>
      </w:pPr>
      <w:r>
        <w:t>Salvatorische Klausel</w:t>
      </w:r>
    </w:p>
    <w:p>
      <w:pPr>
        <w:pStyle w:val="Heading2"/>
      </w:pPr>
      <w:r>
        <w:rPr>
          <w:rFonts w:ascii="Times New Roman" w:hAnsi="Times New Roman"/>
        </w:rPr>
        <w:t>Unterzeichnung</w:t>
      </w:r>
    </w:p>
    <w:p>
      <w:pPr>
        <w:pStyle w:val="ListBullet"/>
      </w:pPr>
      <w:r>
        <w:t>NordCap: Pierre Le Bouëdec, Marisa Kraft (Luxembourg, 04.09.2025)</w:t>
      </w:r>
    </w:p>
    <w:p>
      <w:pPr>
        <w:pStyle w:val="ListBullet"/>
      </w:pPr>
      <w:r>
        <w:t>ILB: Dr. Andreas Junker (Potsdam, 04.09.2025)</w:t>
      </w:r>
    </w:p>
    <w:p>
      <w:pPr>
        <w:pStyle w:val="ListBullet"/>
      </w:pPr>
      <w:r>
        <w:t>LausitzStorage: Karlheinz Bauernfeind (Cottbus, 04.09.2025)</w:t>
      </w:r>
    </w:p>
    <w:p>
      <w:pPr>
        <w:pStyle w:val="ListBullet"/>
      </w:pPr>
      <w:r>
        <w:t>Federfuchs Knöterich &amp; Partner: Dr. Manfred Heiko Burwitz (Frankfurt am Main, 04.09.2025)</w:t>
      </w:r>
    </w:p>
    <w:p>
      <w:pPr>
        <w:pStyle w:val="Heading2"/>
      </w:pPr>
      <w:r>
        <w:rPr>
          <w:rFonts w:ascii="Times New Roman" w:hAnsi="Times New Roman"/>
        </w:rPr>
        <w:t>Anlagen (gesondert übergeben)</w:t>
      </w:r>
    </w:p>
    <w:p>
      <w:pPr>
        <w:pStyle w:val="ListBullet"/>
      </w:pPr>
      <w:r>
        <w:t>Anlage 1: Kontoverpfändungsvertrag (Akte 35)</w:t>
      </w:r>
    </w:p>
    <w:p>
      <w:pPr>
        <w:pStyle w:val="ListBullet"/>
      </w:pPr>
      <w:r>
        <w:t>Anlage 2: Globalzessionsvertrag Pachtforderungen (Akte 36)</w:t>
      </w:r>
    </w:p>
    <w:p>
      <w:pPr>
        <w:pStyle w:val="ListBullet"/>
      </w:pPr>
      <w:r>
        <w:t>Anlage 3: Verpfändungsurkunde Geschäftsanteile UR 388/2025</w:t>
      </w:r>
    </w:p>
    <w:p>
      <w:pPr>
        <w:pStyle w:val="ListBullet"/>
      </w:pPr>
      <w:r>
        <w:t>Anlage 4: Sicherungsabtretungsvertrag PPA-Erlöse</w:t>
      </w:r>
    </w:p>
    <w:p>
      <w:pPr>
        <w:pStyle w:val="ListBullet"/>
      </w:pPr>
      <w:r>
        <w:t>Anlage 5: Sicherungsabtretungsvertrag EPC-Mängel</w:t>
      </w:r>
    </w:p>
    <w:p>
      <w:pPr>
        <w:pStyle w:val="ListBullet"/>
      </w:pPr>
      <w:r>
        <w:t>Anlage 6: Sicherungsübereignungsvertrag Anlagen</w:t>
      </w:r>
    </w:p>
    <w:p>
      <w:pPr>
        <w:pStyle w:val="Heading2"/>
      </w:pPr>
      <w:r>
        <w:rPr>
          <w:rFonts w:ascii="Times New Roman" w:hAnsi="Times New Roman"/>
        </w:rPr>
        <w:t>Aktenlage</w:t>
      </w:r>
    </w:p>
    <w:p>
      <w:pPr>
        <w:jc w:val="left"/>
      </w:pPr>
      <w:r>
        <w:t>Originale: NordCap, ILB, LausitzStorage, Federfuchs Knöterich &amp; Partner (je eine Ausfertigung).</w:t>
      </w:r>
    </w:p>
    <w:p>
      <w:pPr>
        <w:jc w:val="left"/>
      </w:pPr>
      <w:r>
        <w:t>Mandatsakte Pohlmann &amp; Pohlmann: beglaubigte Kopie, eingegangen 11.09.2025.</w:t>
      </w:r>
    </w:p>
    <w:p>
      <w:pPr>
        <w:pStyle w:val="Heading2"/>
      </w:pPr>
      <w:r>
        <w:rPr>
          <w:rFonts w:ascii="Times New Roman" w:hAnsi="Times New Roman"/>
        </w:rPr>
        <w:t>Normbezug</w:t>
      </w:r>
    </w:p>
    <w:p>
      <w:pPr>
        <w:pStyle w:val="ListBullet"/>
      </w:pPr>
      <w:r>
        <w:t>§§ 1273 ff. BGB (Pfandrecht an Rechten)</w:t>
      </w:r>
    </w:p>
    <w:p>
      <w:pPr>
        <w:pStyle w:val="ListBullet"/>
      </w:pPr>
      <w:r>
        <w:t>§ 1280 BGB (Anzeige der Verpfändung an Drittschuldner)</w:t>
      </w:r>
    </w:p>
    <w:p>
      <w:pPr>
        <w:pStyle w:val="ListBullet"/>
      </w:pPr>
      <w:r>
        <w:t>§ 15 Abs. 3 GmbHG (Verpfändung Geschäftsanteile — notarielle Form)</w:t>
      </w:r>
    </w:p>
    <w:p>
      <w:pPr>
        <w:pStyle w:val="ListBullet"/>
      </w:pPr>
      <w:r>
        <w:t>§ 398 BGB (Abtretung)</w:t>
      </w:r>
    </w:p>
    <w:p>
      <w:pPr>
        <w:pStyle w:val="ListBullet"/>
      </w:pPr>
      <w:r>
        <w:t>§§ 929 ff. BGB (Sicherungsübereignung)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LausitzStorage 200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LausitzStorage 200 GmbH</w:t>
    </w:r>
  </w:p>
  <w:p>
    <w:pPr>
      <w:jc w:val="left"/>
      <w:pBdr>
        <w:bottom w:val="single" w:sz="6" w:space="2" w:color="1F3864"/>
      </w:pBdr>
    </w:pPr>
    <w:r>
      <w:rPr>
        <w:rFonts w:ascii="Times New Roman" w:hAnsi="Times New Roman"/>
        <w:color w:val="6B6B66"/>
        <w:sz w:val="16"/>
      </w:rPr>
      <w:t>HRB 12217 Cottbus, vertreten durch Karlheinz Bauernfeind (Sicherheitenbestellerin)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