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Kontoverpfändungsvertrag LausitzStorage 200 ./. Federfuchs Knöterich &amp; Partner LLP (Security Agent)</w:t>
      </w:r>
    </w:p>
    <w:p>
      <w:pPr>
        <w:jc w:val="left"/>
      </w:pPr>
      <w:r>
        <w:rPr>
          <w:b/>
        </w:rPr>
        <w:t>Datum:</w:t>
      </w:r>
      <w:r>
        <w:t xml:space="preserve"> 04.09.2025</w:t>
      </w:r>
    </w:p>
    <w:p>
      <w:pPr>
        <w:jc w:val="left"/>
      </w:pPr>
      <w:r>
        <w:rPr>
          <w:b/>
        </w:rPr>
        <w:t>Form:</w:t>
      </w:r>
      <w:r>
        <w:t xml:space="preserve"> privatschriftlich, dreifach</w:t>
      </w:r>
    </w:p>
    <w:p>
      <w:pPr>
        <w:jc w:val="left"/>
      </w:pPr>
      <w:r>
        <w:rPr>
          <w:b/>
        </w:rPr>
        <w:t>UR-Nr. der Anzeige an Commerzbank:</w:t>
      </w:r>
      <w:r>
        <w:t xml:space="preserve"> im Original mit Posteingangsstempel der Commerzbank Cottbus vom 09.09.2025 versehen</w:t>
      </w:r>
    </w:p>
    <w:p>
      <w:pPr>
        <w:pStyle w:val="Heading2"/>
      </w:pPr>
      <w:r>
        <w:rPr>
          <w:rFonts w:ascii="Times New Roman" w:hAnsi="Times New Roman"/>
        </w:rPr>
        <w:t>Vertragsparteien</w:t>
      </w:r>
    </w:p>
    <w:p>
      <w:pPr>
        <w:pStyle w:val="ListBullet"/>
      </w:pPr>
      <w:r>
        <w:rPr>
          <w:b/>
        </w:rPr>
        <w:t>Verpfänderin:</w:t>
      </w:r>
      <w:r>
        <w:t xml:space="preserve"> LausitzStorage 200 GmbH i.G., HRB 12217 Cottbus, vertreten durch Karlheinz Bauernfeind</w:t>
      </w:r>
    </w:p>
    <w:p>
      <w:pPr>
        <w:pStyle w:val="ListBullet"/>
      </w:pPr>
      <w:r>
        <w:rPr>
          <w:b/>
        </w:rPr>
        <w:t>Pfandnehmer (Security Agent):</w:t>
      </w:r>
      <w:r>
        <w:t xml:space="preserve"> Federfuchs Knöterich &amp; Partner LLP, Mainzer Landstraße 16, 60325 Frankfurt am Main, im Auftrag des Sicherheitenpools nach Sicherheitenpoolvertrag vom 04.09.2025 (Akte 34)</w:t>
      </w:r>
    </w:p>
    <w:p>
      <w:pPr>
        <w:pStyle w:val="ListBullet"/>
      </w:pPr>
      <w:r>
        <w:rPr>
          <w:b/>
        </w:rPr>
        <w:t>Drittschuldnerin:</w:t>
      </w:r>
      <w:r>
        <w:t xml:space="preserve"> Commerzbank AG, Niederlassung Cottbus, Karl-Liebknecht-Straße 116, 03046 Cottbus</w:t>
      </w:r>
    </w:p>
    <w:p>
      <w:pPr>
        <w:pStyle w:val="Heading2"/>
      </w:pPr>
      <w:r>
        <w:rPr>
          <w:rFonts w:ascii="Times New Roman" w:hAnsi="Times New Roman"/>
        </w:rPr>
        <w:t>§ 1 Verpfändete Konten und Forderungen</w:t>
      </w:r>
    </w:p>
    <w:p>
      <w:pPr>
        <w:jc w:val="left"/>
      </w:pPr>
      <w:r>
        <w:t>Verpfändet werden sämtliche gegenwärtigen und künftigen Forderungen der Verpfänderin aus folgenden Kontoverbindungen: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Konto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IBAN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BLZ/BIC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Verwendung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Betriebskonto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DE21 1804 0000 0123 4567 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COBADEFF180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Laufender Geschäftsbetrieb, Gehälter, Avalprovisionen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Projektkonto Tranche 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DE94 1804 0000 0123 4567 01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COBADEFF180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Zweckgebundene Mittelverwendung NordCap Tranche 2 (Akte 10 Beschluss 2)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Liquiditätsreserve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DE67 1804 0000 0123 4567 02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COBADEFF180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Mindestbestand 1,5 Mio EUR (Senior-Vertrag § 12 Abs. 1)</w:t>
            </w:r>
          </w:p>
        </w:tc>
      </w:tr>
    </w:tbl>
    <w:p>
      <w:pPr>
        <w:jc w:val="left"/>
      </w:pPr>
      <w:r>
        <w:t>Eingeschlossen sind:</w:t>
      </w:r>
    </w:p>
    <w:p>
      <w:pPr>
        <w:pStyle w:val="ListBullet"/>
      </w:pPr>
      <w:r>
        <w:t>Tagesguthaben einschließlich Zinsforderungen</w:t>
      </w:r>
    </w:p>
    <w:p>
      <w:pPr>
        <w:pStyle w:val="ListBullet"/>
      </w:pPr>
      <w:r>
        <w:t>Forderungen aus Festgeldanlagen, soweit aus diesen Konten gespeist</w:t>
      </w:r>
    </w:p>
    <w:p>
      <w:pPr>
        <w:pStyle w:val="ListBullet"/>
      </w:pPr>
      <w:r>
        <w:t>Forderungen aus Wertpapierverwahrungen, soweit verbunden</w:t>
      </w:r>
    </w:p>
    <w:p>
      <w:pPr>
        <w:pStyle w:val="Heading2"/>
      </w:pPr>
      <w:r>
        <w:rPr>
          <w:rFonts w:ascii="Times New Roman" w:hAnsi="Times New Roman"/>
        </w:rPr>
        <w:t>§ 2 Zweckbestimmung der Verpfändung</w:t>
      </w:r>
    </w:p>
    <w:p>
      <w:pPr>
        <w:jc w:val="left"/>
      </w:pPr>
      <w:r>
        <w:t>Das Pfandrecht sichert sämtliche gegenwärtigen und künftigen Forderungen aus</w:t>
      </w:r>
    </w:p>
    <w:p>
      <w:pPr>
        <w:jc w:val="left"/>
      </w:pPr>
      <w:r>
        <w:t>(a) dem Senior-Darlehensvertrag NordCap vom 04.09.2025 (Akte 08) — Hauptforderung 96 Mio EUR zuzüglich Zinsen, Kosten und Verzugsschaden,</w:t>
      </w:r>
    </w:p>
    <w:p>
      <w:pPr>
        <w:jc w:val="left"/>
      </w:pPr>
      <w:r>
        <w:t>(b) dem Wandeldarlehensvertrag NordCap vom 04.09.2025 (Akte 09) — Hauptforderung 18 Mio EUR oder dem entsprechenden Wandlungsanspruch nach § 4 des Wandelvertrags,</w:t>
      </w:r>
    </w:p>
    <w:p>
      <w:pPr>
        <w:jc w:val="left"/>
      </w:pPr>
      <w:r>
        <w:t>(c) Erstattungsansprüchen der ILB aus dem Avalrahmenvertrag vom 14.11.2025 (Akte 12) aus gezogenen Einzelavalen,</w:t>
      </w:r>
    </w:p>
    <w:p>
      <w:pPr>
        <w:jc w:val="left"/>
      </w:pPr>
      <w:r>
        <w:t>in der in § 2 des Sicherheitenpoolvertrags (Akte 34) festgelegten Rangfolge.</w:t>
      </w:r>
    </w:p>
    <w:p>
      <w:pPr>
        <w:pStyle w:val="Heading2"/>
      </w:pPr>
      <w:r>
        <w:rPr>
          <w:rFonts w:ascii="Times New Roman" w:hAnsi="Times New Roman"/>
        </w:rPr>
        <w:t>§ 3 Anzeige an Drittschuldnerin gemäß § 1280 BGB</w:t>
      </w:r>
    </w:p>
    <w:p>
      <w:pPr>
        <w:jc w:val="left"/>
      </w:pPr>
      <w:r>
        <w:t xml:space="preserve">Die Verpfänderin und der Pfandnehmer zeigen die Verpfändung der Commerzbank gemeinsam an. Die Anzeige erfolgt unmittelbar nach Vertragsabschluss durch eingeschriebenen Brief an die Commerzbank-Niederlassung Cottbus, Sachbearbeiterin Frau Heike Pankratz. Bestätigung durch Eingangsstempel vom </w:t>
      </w:r>
      <w:r>
        <w:rPr>
          <w:b/>
        </w:rPr>
        <w:t>09.09.2025</w:t>
      </w:r>
      <w:r>
        <w:t>.</w:t>
      </w:r>
    </w:p>
    <w:p>
      <w:pPr>
        <w:pStyle w:val="Heading2"/>
      </w:pPr>
      <w:r>
        <w:rPr>
          <w:rFonts w:ascii="Times New Roman" w:hAnsi="Times New Roman"/>
        </w:rPr>
        <w:t>§ 4 Verfügungsbeschränkung</w:t>
      </w:r>
    </w:p>
    <w:p>
      <w:pPr>
        <w:jc w:val="left"/>
      </w:pPr>
      <w:r>
        <w:t>Bis zum Sicherungsfall ist die Verpfänderin berechtigt, frei über die Kontoguthaben zu verfügen. Bei Eintritt des Sicherungsfalls erlischt diese Verfügungsbefugnis; die Commerzbank ist gehalten, ab Eingang einer schriftlichen Verwertungsanzeige des Security Agents Verfügungen nur noch mit dessen Zustimmung auszuführen.</w:t>
      </w:r>
    </w:p>
    <w:p>
      <w:pPr>
        <w:jc w:val="left"/>
      </w:pPr>
      <w:r>
        <w:t>Sicherungsfall liegt vor bei:</w:t>
      </w:r>
    </w:p>
    <w:p>
      <w:pPr>
        <w:pStyle w:val="ListBullet"/>
      </w:pPr>
      <w:r>
        <w:t>Fälligstellung des Senior- oder Wandeldarlehens nach § 7 Abs. 1 des Senior-Darlehensvertrags</w:t>
      </w:r>
    </w:p>
    <w:p>
      <w:pPr>
        <w:pStyle w:val="ListBullet"/>
      </w:pPr>
      <w:r>
        <w:t>Bestandskräftiger Verwertungsanzeige nach § 4 Abs. 2 Sicherheitenpoolvertrag</w:t>
      </w:r>
    </w:p>
    <w:p>
      <w:pPr>
        <w:pStyle w:val="Heading2"/>
      </w:pPr>
      <w:r>
        <w:rPr>
          <w:rFonts w:ascii="Times New Roman" w:hAnsi="Times New Roman"/>
        </w:rPr>
        <w:t>§ 5 Status des Drawstop-Schreibens</w:t>
      </w:r>
    </w:p>
    <w:p>
      <w:pPr>
        <w:jc w:val="left"/>
      </w:pPr>
      <w:r>
        <w:t xml:space="preserve">Klargestellt wird: Das Drawstop-Schreiben NordCap vom 22.05.2026 (Akte 13) löst </w:t>
      </w:r>
      <w:r>
        <w:rPr>
          <w:b/>
        </w:rPr>
        <w:t>keinen</w:t>
      </w:r>
      <w:r>
        <w:t xml:space="preserve"> Sicherungsfall im Sinne dieses Vertrages aus. Die laufenden Verfügungen der Geschäftsführung über die Konten (Gehälter, Avalprovisionen, EPC-Anzahlungen) bleiben uneingeschränkt zulässig.</w:t>
      </w:r>
    </w:p>
    <w:p>
      <w:pPr>
        <w:pStyle w:val="Heading2"/>
      </w:pPr>
      <w:r>
        <w:rPr>
          <w:rFonts w:ascii="Times New Roman" w:hAnsi="Times New Roman"/>
        </w:rPr>
        <w:t>§ 6 Versicherung</w:t>
      </w:r>
    </w:p>
    <w:p>
      <w:pPr>
        <w:jc w:val="left"/>
      </w:pPr>
      <w:r>
        <w:t>Die Verpfänderin versichert:</w:t>
      </w:r>
    </w:p>
    <w:p>
      <w:pPr>
        <w:pStyle w:val="ListBullet"/>
      </w:pPr>
      <w:r>
        <w:t>die Kontoguthaben sind nicht anderweitig verpfändet oder abgetreten</w:t>
      </w:r>
    </w:p>
    <w:p>
      <w:pPr>
        <w:pStyle w:val="ListBullet"/>
      </w:pPr>
      <w:r>
        <w:t>es bestehen keine Verfügungsbeschränkungen Dritter</w:t>
      </w:r>
    </w:p>
    <w:p>
      <w:pPr>
        <w:pStyle w:val="ListBullet"/>
      </w:pPr>
      <w:r>
        <w:t>es bestehen keine Pfändungen oder Vollstreckungsmaßnahmen</w:t>
      </w:r>
    </w:p>
    <w:p>
      <w:pPr>
        <w:pStyle w:val="Heading2"/>
      </w:pPr>
      <w:r>
        <w:rPr>
          <w:rFonts w:ascii="Times New Roman" w:hAnsi="Times New Roman"/>
        </w:rPr>
        <w:t>§ 7 Bestätigung Commerzbank</w:t>
      </w:r>
    </w:p>
    <w:p>
      <w:pPr>
        <w:jc w:val="left"/>
      </w:pPr>
      <w:r>
        <w:t xml:space="preserve">Die Commerzbank hat mit Schreiben vom </w:t>
      </w:r>
      <w:r>
        <w:rPr>
          <w:b/>
        </w:rPr>
        <w:t>15.09.2025</w:t>
      </w:r>
      <w:r>
        <w:t xml:space="preserve"> (Aktenzeichen KredKom-LausitzStorage-2025/2174, Unterzeichnung Heike Pankratz und Olaf Wendler) bestätigt:</w:t>
      </w:r>
    </w:p>
    <w:p>
      <w:pPr>
        <w:pStyle w:val="ListBullet"/>
      </w:pPr>
      <w:r>
        <w:t>Verpfändung wirksam erfasst</w:t>
      </w:r>
    </w:p>
    <w:p>
      <w:pPr>
        <w:pStyle w:val="ListBullet"/>
      </w:pPr>
      <w:r>
        <w:t>Keine konkurrierenden Bankpfandrechte aus AGB-Pfandrecht über die übliche Verrechnungspraxis hinaus (es wurde ausdrücklich auf das AGB-Bankenpfandrecht Ziff. 14 AGB-Bk verzichtet, soweit es Forderungen aus diesem Vertrag betrifft)</w:t>
      </w:r>
    </w:p>
    <w:p>
      <w:pPr>
        <w:pStyle w:val="ListBullet"/>
      </w:pPr>
      <w:r>
        <w:t>Bankseitige Sperrung wird nur auf schriftliche Verwertungsanzeige des Security Agents vollzogen</w:t>
      </w:r>
    </w:p>
    <w:p>
      <w:pPr>
        <w:pStyle w:val="Heading2"/>
      </w:pPr>
      <w:r>
        <w:rPr>
          <w:rFonts w:ascii="Times New Roman" w:hAnsi="Times New Roman"/>
        </w:rPr>
        <w:t>§ 8 Allgemeine Bestimmungen</w:t>
      </w:r>
    </w:p>
    <w:p>
      <w:pPr>
        <w:pStyle w:val="ListBullet"/>
      </w:pPr>
      <w:r>
        <w:t>Schriftformerfordernis für Änderungen</w:t>
      </w:r>
    </w:p>
    <w:p>
      <w:pPr>
        <w:pStyle w:val="ListBullet"/>
      </w:pPr>
      <w:r>
        <w:t>Gerichtsstand: Frankfurt am Main</w:t>
      </w:r>
    </w:p>
    <w:p>
      <w:pPr>
        <w:pStyle w:val="ListBullet"/>
      </w:pPr>
      <w:r>
        <w:t>Anwendbares Recht: deutsches Recht</w:t>
      </w:r>
    </w:p>
    <w:p>
      <w:pPr>
        <w:pStyle w:val="Heading2"/>
      </w:pPr>
      <w:r>
        <w:rPr>
          <w:rFonts w:ascii="Times New Roman" w:hAnsi="Times New Roman"/>
        </w:rPr>
        <w:t>Unterzeichnung</w:t>
      </w:r>
    </w:p>
    <w:p>
      <w:pPr>
        <w:pStyle w:val="ListBullet"/>
      </w:pPr>
      <w:r>
        <w:t>LausitzStorage: Karlheinz Bauernfeind (Cottbus, 04.09.2025)</w:t>
      </w:r>
    </w:p>
    <w:p>
      <w:pPr>
        <w:pStyle w:val="ListBullet"/>
      </w:pPr>
      <w:r>
        <w:t>Federfuchs Knöterich &amp; Partner: Dr. Manfred Heiko Burwitz (Frankfurt am Main, 04.09.2025)</w:t>
      </w:r>
    </w:p>
    <w:p>
      <w:pPr>
        <w:pStyle w:val="ListBullet"/>
      </w:pPr>
      <w:r>
        <w:t>Anzeigenempfang Commerzbank: Heike Pankratz (Cottbus, 09.09.2025, Posteingangsstempel)</w:t>
      </w:r>
    </w:p>
    <w:p>
      <w:pPr>
        <w:pStyle w:val="Heading2"/>
      </w:pPr>
      <w:r>
        <w:rPr>
          <w:rFonts w:ascii="Times New Roman" w:hAnsi="Times New Roman"/>
        </w:rPr>
        <w:t>Aktenlage</w:t>
      </w:r>
    </w:p>
    <w:p>
      <w:pPr>
        <w:pStyle w:val="ListBullet"/>
      </w:pPr>
      <w:r>
        <w:t>Original mit Anzeigeneingangsstempel: Federfuchs Knöterich &amp; Partner</w:t>
      </w:r>
    </w:p>
    <w:p>
      <w:pPr>
        <w:pStyle w:val="ListBullet"/>
      </w:pPr>
      <w:r>
        <w:t>Beglaubigte Kopie LausitzStorage und Pohlmann &amp; Pohlmann (eingegangen 11.09.2025)</w:t>
      </w:r>
    </w:p>
    <w:p>
      <w:pPr>
        <w:pStyle w:val="ListBullet"/>
      </w:pPr>
      <w:r>
        <w:t>Bankseitige Bestätigung 15.09.2025 (KredKom-LausitzStorage-2025/2174) in Datev-Archiv Mandant L-200</w:t>
      </w:r>
    </w:p>
    <w:p>
      <w:pPr>
        <w:pStyle w:val="Heading2"/>
      </w:pPr>
      <w:r>
        <w:rPr>
          <w:rFonts w:ascii="Times New Roman" w:hAnsi="Times New Roman"/>
        </w:rPr>
        <w:t>Normbezug</w:t>
      </w:r>
    </w:p>
    <w:p>
      <w:pPr>
        <w:pStyle w:val="ListBullet"/>
      </w:pPr>
      <w:r>
        <w:t>§§ 1273-1278 BGB (Pfandrecht an Rechten)</w:t>
      </w:r>
    </w:p>
    <w:p>
      <w:pPr>
        <w:pStyle w:val="ListBullet"/>
      </w:pPr>
      <w:r>
        <w:t>§ 1280 BGB (Anzeige an Drittschuldner — konstitutiv für die Wirksamkeit)</w:t>
      </w:r>
    </w:p>
    <w:p>
      <w:pPr>
        <w:pStyle w:val="ListBullet"/>
      </w:pPr>
      <w:r>
        <w:t>§ 1281 BGB (Leistung nur an Schuldner und Pfandgläubiger gemeinschaftlich nach Sicherungsfall)</w:t>
      </w:r>
    </w:p>
    <w:p>
      <w:pPr>
        <w:pStyle w:val="ListBullet"/>
      </w:pPr>
      <w:r>
        <w:t>Nr. 14 AGB-Banken (AGB-Pfandrecht — Subordination)</w:t>
      </w:r>
    </w:p>
    <w:p>
      <w:pPr>
        <w:pStyle w:val="ListBullet"/>
      </w:pPr>
      <w:r>
        <w:t>§§ 158 Abs. 1, 398 BGB (für künftige Forderungen aus Festgeld/Wertpapieren)</w:t>
      </w:r>
    </w:p>
    <w:p>
      <w:pPr>
        <w:pStyle w:val="Heading2"/>
      </w:pPr>
      <w:r>
        <w:rPr>
          <w:rFonts w:ascii="Times New Roman" w:hAnsi="Times New Roman"/>
        </w:rPr>
        <w:t>❗ Befund Statusersteller</w:t>
      </w:r>
    </w:p>
    <w:p>
      <w:pPr>
        <w:jc w:val="left"/>
      </w:pPr>
      <w:r>
        <w:t xml:space="preserve">Die Anzeige an Commerzbank ist am 09.09.2025 nachweisbar zugegangen — das Pfandrecht ist wirksam entstanden (§ 1280 BGB). </w:t>
      </w:r>
      <w:r>
        <w:rPr>
          <w:b/>
        </w:rPr>
        <w:t>Kein Mangel feststellbar</w:t>
      </w:r>
      <w:r>
        <w:t>, Akte ist konsistent. Die Frage der Statusführung im Step-Plan: grün.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LausitzStorage 200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F3864"/>
        <w:sz w:val="24"/>
      </w:rPr>
      <w:t>LausitzStorage 200 GmbH</w:t>
    </w:r>
  </w:p>
  <w:p>
    <w:pPr>
      <w:jc w:val="left"/>
      <w:pBdr>
        <w:bottom w:val="single" w:sz="6" w:space="2" w:color="1F3864"/>
      </w:pBdr>
    </w:pPr>
    <w:r>
      <w:rPr>
        <w:rFonts w:ascii="Times New Roman" w:hAnsi="Times New Roman"/>
        <w:color w:val="6B6B66"/>
        <w:sz w:val="16"/>
      </w:rPr>
      <w:t>HRB 12217 Cottbus, vertreten durch Karlheinz Bauernfeind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