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Antrag auf Statusfeststellung, Formular C0031</w:t>
      </w:r>
    </w:p>
    <w:p>
      <w:r>
        <w:rPr>
          <w:rFonts w:ascii="Times New Roman" w:hAnsi="Times New Roman"/>
          <w:b/>
          <w:i w:val="0"/>
          <w:sz w:val="22"/>
        </w:rPr>
        <w:t>Deutsche Rentenversicherung Bund, Clearingstelle, 10704 Berlin</w:t>
      </w:r>
    </w:p>
    <w:p>
      <w:r>
        <w:rPr>
          <w:rFonts w:ascii="Times New Roman" w:hAnsi="Times New Roman"/>
          <w:b w:val="0"/>
          <w:i w:val="0"/>
          <w:sz w:val="22"/>
        </w:rPr>
        <w:t>Eingegangen: 04.09.2023 - Aktenzeichen: SV-2023-771402-VOGT</w:t>
      </w:r>
    </w:p>
    <w:p>
      <w:pPr>
        <w:pStyle w:val="Heading2"/>
      </w:pPr>
      <w:r>
        <w:t>1 Angaben zum Auftraggeber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Neuralis MedTech GmbH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Anschrift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Henkestraße 91, 91054 Erlangen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Betriebsnummer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38714402</w:t>
            </w:r>
          </w:p>
        </w:tc>
      </w:tr>
    </w:tbl>
    <w:p/>
    <w:p>
      <w:pPr>
        <w:pStyle w:val="Heading2"/>
      </w:pPr>
      <w:r>
        <w:t>2 Angaben zur Person, über deren Status entschieden werden soll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Dr. Henrik Vogt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Geburtsdatum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11.04.1979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Geschäftsführer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Beteiligung am Stammkapital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32 Prozent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Beginn der Tätigkeit als Geschäftsführer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14.11.2019, seit 01.03.2023 auf Grundlage des neu gefassten Anstellungsvertrags</w:t>
            </w:r>
          </w:p>
        </w:tc>
      </w:tr>
    </w:tbl>
    <w:p/>
    <w:p>
      <w:pPr>
        <w:pStyle w:val="Heading2"/>
      </w:pPr>
      <w:r>
        <w:t>3 Fragen zur Rechtsmacht</w:t>
      </w:r>
    </w:p>
    <w:p>
      <w:r>
        <w:rPr>
          <w:rFonts w:ascii="Times New Roman" w:hAnsi="Times New Roman"/>
          <w:b w:val="0"/>
          <w:i w:val="0"/>
          <w:sz w:val="22"/>
        </w:rPr>
        <w:t>3.1 Verfügt die Person über mindestens 50 Prozent der Stimmrechte? Antwort: Nein, 32 Prozent.</w:t>
      </w:r>
    </w:p>
    <w:p>
      <w:r>
        <w:rPr>
          <w:rFonts w:ascii="Times New Roman" w:hAnsi="Times New Roman"/>
          <w:b w:val="0"/>
          <w:i w:val="0"/>
          <w:sz w:val="22"/>
        </w:rPr>
        <w:t>3.2 Verfügt die Person über eine im Gesellschaftsvertrag verankerte Sperrminorität, mit der sie ihr nicht genehme Weisungen verhindern kann? Antwort: Eingeschränkt, siehe Anlage Gesellschaftsvertrag Paragraf 6.5 (Sperrminorität im Ressort Entwicklung, eingeführt 2025), nicht umfassend.</w:t>
      </w:r>
    </w:p>
    <w:p>
      <w:pPr>
        <w:pStyle w:val="Heading2"/>
      </w:pPr>
      <w:r>
        <w:t>4 Fragen zur Weisungsgebundenheit</w:t>
      </w:r>
    </w:p>
    <w:p>
      <w:r>
        <w:rPr>
          <w:rFonts w:ascii="Times New Roman" w:hAnsi="Times New Roman"/>
          <w:b w:val="0"/>
          <w:i w:val="0"/>
          <w:sz w:val="22"/>
        </w:rPr>
        <w:t>4.1 Unterliegt die Person einem Zeit-, Orts- und Fachweisungsrecht? Antwort: Kein festes Zeit- und Ortsweisungsrecht laut Anstellungsvertrag Ziffer 2, jedoch Zustimmungsvorbehalte des Beirats nach Gesellschaftsvertrag Paragraf 7.3 und Anstellungsvertrag Ziffer 5.2.</w:t>
      </w:r>
    </w:p>
    <w:p>
      <w:r>
        <w:rPr>
          <w:rFonts w:ascii="Times New Roman" w:hAnsi="Times New Roman"/>
          <w:b w:val="0"/>
          <w:i w:val="0"/>
          <w:sz w:val="22"/>
        </w:rPr>
        <w:t>4.2 Erhält die Person Urlaub und Entgeltfortzahlung im Krankheitsfall wie ein Arbeitnehmer? Antwort: Ja, 30 Tage Urlaub und sechs Wochen Entgeltfortzahlung laut Anstellungsvertrag Ziffer 4.</w:t>
      </w:r>
    </w:p>
    <w:p>
      <w:pPr>
        <w:pStyle w:val="Heading2"/>
      </w:pPr>
      <w:r>
        <w:t>5 Fragen zum Unternehmerrisiko</w:t>
      </w:r>
    </w:p>
    <w:p>
      <w:r>
        <w:rPr>
          <w:rFonts w:ascii="Times New Roman" w:hAnsi="Times New Roman"/>
          <w:b w:val="0"/>
          <w:i w:val="0"/>
          <w:sz w:val="22"/>
        </w:rPr>
        <w:t>5.1 Trägt die Person ein Unternehmerrisiko, insbesondere durch Kapitaleinsatz oder Bürgschaften? Antwort: Ja, persönliche Bürgschaft über 400000,00 EUR gegenüber der Hausbank der Gesellschaft, siehe Anlage Bürgschaftsurkunde.</w:t>
      </w:r>
    </w:p>
    <w:p>
      <w:r>
        <w:rPr>
          <w:rFonts w:ascii="Times New Roman" w:hAnsi="Times New Roman"/>
          <w:b w:val="0"/>
          <w:i w:val="0"/>
          <w:sz w:val="22"/>
        </w:rPr>
        <w:t>5.2 Ist die Vergütung erfolgsabhängig oder gewinnbezogen? Antwort: Feste Vergütung von 12000,00 EUR monatlich, zusätzlich variable Vergütung bis 40000,00 EUR jährlich nach Meilensteinen.</w:t>
      </w:r>
    </w:p>
    <w:p>
      <w:pPr>
        <w:pStyle w:val="Heading2"/>
      </w:pPr>
      <w:r>
        <w:t>6 Erklärung der Antragstellerin</w:t>
      </w:r>
    </w:p>
    <w:p>
      <w:r>
        <w:rPr>
          <w:rFonts w:ascii="Times New Roman" w:hAnsi="Times New Roman"/>
          <w:b w:val="0"/>
          <w:i w:val="0"/>
          <w:sz w:val="22"/>
        </w:rPr>
        <w:t>Die Neuralis MedTech GmbH erklärt, dass die vorstehenden Angaben nach bestem Wissen vollständig und richtig sind. Anlagen: Gesellschaftsvertrag, Geschäftsführervertrag, Handelsregisterauszug, Bürgschaftsurkunde (in Kopie).</w:t>
      </w:r>
    </w:p>
    <w:p>
      <w:r>
        <w:rPr>
          <w:rFonts w:ascii="Times New Roman" w:hAnsi="Times New Roman"/>
          <w:b w:val="0"/>
          <w:i w:val="0"/>
          <w:sz w:val="22"/>
        </w:rPr>
        <w:t>Erlangen, den 01.09.2023 - Für die Neuralis MedTech GmbH: Caroline Benkert, CFO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Deutsche Rentenversicherung Bund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Deutsche Rentenversicherung Bund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Clearingstelle, 10704 Berlin · Aktenzeichen: SV-2023-771402-VOGT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