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2"/>
        </w:rPr>
        <w:t>Deutsche Rentenversicherung Bund</w:t>
      </w:r>
    </w:p>
    <w:p>
      <w:r>
        <w:rPr>
          <w:rFonts w:ascii="Times New Roman" w:hAnsi="Times New Roman"/>
          <w:b w:val="0"/>
          <w:i w:val="0"/>
          <w:sz w:val="22"/>
        </w:rPr>
        <w:t>Clearingstelle Sozialversicherungsstatus</w:t>
      </w:r>
    </w:p>
    <w:p>
      <w:r>
        <w:rPr>
          <w:rFonts w:ascii="Times New Roman" w:hAnsi="Times New Roman"/>
          <w:b w:val="0"/>
          <w:i w:val="0"/>
          <w:sz w:val="22"/>
        </w:rPr>
        <w:t>Ruhrstraße 2, 10709 Berlin</w:t>
      </w:r>
    </w:p>
    <w:p/>
    <w:p>
      <w:pPr>
        <w:pStyle w:val="Heading1"/>
      </w:pPr>
      <w:r>
        <w:t>Anhörung nach Paragraf 24 SGB X im Statusfeststellungsverfahren</w:t>
      </w:r>
    </w:p>
    <w:p>
      <w:r>
        <w:rPr>
          <w:rFonts w:ascii="Times New Roman" w:hAnsi="Times New Roman"/>
          <w:b w:val="0"/>
          <w:i w:val="0"/>
          <w:sz w:val="22"/>
        </w:rPr>
        <w:t>Aktenzeichen: SV-2023-771402-VOGT - Berlin, den 18.11.2025</w:t>
      </w:r>
    </w:p>
    <w:p>
      <w:r>
        <w:rPr>
          <w:rFonts w:ascii="Times New Roman" w:hAnsi="Times New Roman"/>
          <w:b w:val="0"/>
          <w:i w:val="0"/>
          <w:sz w:val="22"/>
        </w:rPr>
        <w:t>Sehr geehrte Damen und Herren,</w:t>
      </w:r>
    </w:p>
    <w:p>
      <w:pPr>
        <w:pStyle w:val="Heading2"/>
      </w:pPr>
      <w:r>
        <w:t>1 Zwischenergebnis der Prüfung</w:t>
      </w:r>
    </w:p>
    <w:p>
      <w:r>
        <w:rPr>
          <w:rFonts w:ascii="Times New Roman" w:hAnsi="Times New Roman"/>
          <w:b w:val="0"/>
          <w:i w:val="0"/>
          <w:sz w:val="22"/>
        </w:rPr>
        <w:t>nach Auswertung des Gesellschaftsvertrags, des Geschäftsführervertrags, der Beiratsprotokolle und des Feststellungsbogens C0031/C0032 beabsichtigen wir festzustellen, dass Herr Dr. Henrik Vogt seine Tätigkeit als Geschäftsführer der Neuralis MedTech GmbH seit dem 01.03.2023 im Rahmen eines abhängigen, dem Grunde nach sozialversicherungspflichtigen Beschäftigungsverhältnisses ausübt.</w:t>
      </w:r>
    </w:p>
    <w:p>
      <w:pPr>
        <w:pStyle w:val="Heading2"/>
      </w:pPr>
      <w:r>
        <w:t>2 Tragende Gesichtspunkte</w:t>
      </w:r>
    </w:p>
    <w:p>
      <w:r>
        <w:rPr>
          <w:rFonts w:ascii="Times New Roman" w:hAnsi="Times New Roman"/>
          <w:b w:val="0"/>
          <w:i w:val="0"/>
          <w:sz w:val="22"/>
        </w:rPr>
        <w:t>2.1 Herr Dr. Vogt hält mit 32 Prozent lediglich einen Minderheitsanteil am Stammkapital der Gesellschaft und kann Beschlüsse der Gesellschafterversammlung, die mit einfacher Mehrheit gefasst werden, nicht verhindern.</w:t>
      </w:r>
    </w:p>
    <w:p>
      <w:r>
        <w:rPr>
          <w:rFonts w:ascii="Times New Roman" w:hAnsi="Times New Roman"/>
          <w:b w:val="0"/>
          <w:i w:val="0"/>
          <w:sz w:val="22"/>
        </w:rPr>
        <w:t>2.2 Der Anstellungsvertrag sieht eine feste monatliche Vergütung, einen Urlaubsanspruch von 30 Arbeitstagen und eine Entgeltfortzahlung im Krankheitsfall von sechs Wochen vor. Diese Regelungen entsprechen typischen arbeitsvertraglichen Schutzmechanismen.</w:t>
      </w:r>
    </w:p>
    <w:p>
      <w:r>
        <w:rPr>
          <w:rFonts w:ascii="Times New Roman" w:hAnsi="Times New Roman"/>
          <w:b w:val="0"/>
          <w:i w:val="0"/>
          <w:sz w:val="22"/>
        </w:rPr>
        <w:t>2.3 Der Gesellschaftsvertrag sieht in Paragraf 7 einen Beirat mit eigenen Zustimmungsvorbehalten vor, denen die Geschäftsführung unterworfen ist, unter anderem bei Investitionen ab 50000,00 EUR und Personalentscheidungen ab Leitungsebene.</w:t>
      </w:r>
    </w:p>
    <w:p>
      <w:r>
        <w:rPr>
          <w:rFonts w:ascii="Times New Roman" w:hAnsi="Times New Roman"/>
          <w:b w:val="0"/>
          <w:i w:val="0"/>
          <w:sz w:val="22"/>
        </w:rPr>
        <w:t>2.4 Die im Jahr 2025 nachträglich eingeführte Sperrminorität in Paragraf 6.5 des Gesellschaftsvertrags beschränkt sich auf das Ressort Entwicklung und laufende klinische Studien. Sie vermittelt keine umfassende Sperrminorität über alle wesentlichen Gesellschafterbeschlüsse.</w:t>
      </w:r>
    </w:p>
    <w:p>
      <w:pPr>
        <w:pStyle w:val="Heading2"/>
      </w:pPr>
      <w:r>
        <w:t>3 Gesichtspunkte, die für Selbstständigkeit sprechen könnten</w:t>
      </w:r>
    </w:p>
    <w:p>
      <w:r>
        <w:rPr>
          <w:rFonts w:ascii="Times New Roman" w:hAnsi="Times New Roman"/>
          <w:b w:val="0"/>
          <w:i w:val="0"/>
          <w:sz w:val="22"/>
        </w:rPr>
        <w:t>3.1 Herr Dr. Vogt hat eine persönliche Bürgschaft über 400000,00 EUR zugunsten der Hausbank der Gesellschaft übernommen und trägt damit ein Kapitalrisiko, das über eine reine Arbeitnehmerstellung hinausgeht.</w:t>
      </w:r>
    </w:p>
    <w:p>
      <w:r>
        <w:rPr>
          <w:rFonts w:ascii="Times New Roman" w:hAnsi="Times New Roman"/>
          <w:b w:val="0"/>
          <w:i w:val="0"/>
          <w:sz w:val="22"/>
        </w:rPr>
        <w:t>3.2 Herr Dr. Vogt ist Mitgründer und alleiniger Inhaber des technischen Kernwissens zur Patentfamilie NLM-4.</w:t>
      </w:r>
    </w:p>
    <w:p>
      <w:pPr>
        <w:pStyle w:val="Heading2"/>
      </w:pPr>
      <w:r>
        <w:t>4 Anhörung</w:t>
      </w:r>
    </w:p>
    <w:p>
      <w:r>
        <w:rPr>
          <w:rFonts w:ascii="Times New Roman" w:hAnsi="Times New Roman"/>
          <w:b w:val="0"/>
          <w:i w:val="0"/>
          <w:sz w:val="22"/>
        </w:rPr>
        <w:t>Wir geben Ihnen Gelegenheit, sich zu den vorgenannten Tatsachen und zu der beabsichtigten Feststellung innerhalb eines Monats nach Zugang dieses Schreibens zu äußern. Ergänzende Unterlagen zur tatsächlichen Handhabung von Weisungen, Urlaub und Berichtspflichten werden erbeten.</w:t>
      </w:r>
    </w:p>
    <w:p>
      <w:r>
        <w:rPr>
          <w:rFonts w:ascii="Times New Roman" w:hAnsi="Times New Roman"/>
          <w:b w:val="0"/>
          <w:i w:val="0"/>
          <w:sz w:val="22"/>
        </w:rPr>
        <w:t>Mit freundlichen Grüßen, i.A. Prüfstelle Statusfeststellung</w:t>
      </w:r>
    </w:p>
    <w:p>
      <w:pPr>
        <w:pStyle w:val="Heading2"/>
      </w:pPr>
      <w:r>
        <w:t>5 Fragenkatalog zur Stellungnahme</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Nr.</w:t>
            </w:r>
          </w:p>
        </w:tc>
        <w:tc>
          <w:tcPr>
            <w:tcW w:type="dxa" w:w="4320"/>
          </w:tcPr>
          <w:p>
            <w:r/>
            <w:r>
              <w:rPr>
                <w:rFonts w:ascii="Times New Roman" w:hAnsi="Times New Roman"/>
                <w:b/>
                <w:sz w:val="20"/>
              </w:rPr>
              <w:t>Frage</w:t>
            </w:r>
          </w:p>
        </w:tc>
      </w:tr>
      <w:tr>
        <w:tc>
          <w:tcPr>
            <w:tcW w:type="dxa" w:w="4320"/>
          </w:tcPr>
          <w:p>
            <w:r/>
            <w:r>
              <w:rPr>
                <w:rFonts w:ascii="Times New Roman" w:hAnsi="Times New Roman"/>
                <w:sz w:val="20"/>
              </w:rPr>
              <w:t>1</w:t>
            </w:r>
          </w:p>
        </w:tc>
        <w:tc>
          <w:tcPr>
            <w:tcW w:type="dxa" w:w="4320"/>
          </w:tcPr>
          <w:p>
            <w:r/>
            <w:r>
              <w:rPr>
                <w:rFonts w:ascii="Times New Roman" w:hAnsi="Times New Roman"/>
                <w:sz w:val="20"/>
              </w:rPr>
              <w:t>Wurde Herrn Dr. Vogt seit 2023 mindestens einmal eine Weisung erteilt, der er gegen seinen erklärten Willen gefolgt ist?</w:t>
            </w:r>
          </w:p>
        </w:tc>
      </w:tr>
      <w:tr>
        <w:tc>
          <w:tcPr>
            <w:tcW w:type="dxa" w:w="4320"/>
          </w:tcPr>
          <w:p>
            <w:r/>
            <w:r>
              <w:rPr>
                <w:rFonts w:ascii="Times New Roman" w:hAnsi="Times New Roman"/>
                <w:sz w:val="20"/>
              </w:rPr>
              <w:t>2</w:t>
            </w:r>
          </w:p>
        </w:tc>
        <w:tc>
          <w:tcPr>
            <w:tcW w:type="dxa" w:w="4320"/>
          </w:tcPr>
          <w:p>
            <w:r/>
            <w:r>
              <w:rPr>
                <w:rFonts w:ascii="Times New Roman" w:hAnsi="Times New Roman"/>
                <w:sz w:val="20"/>
              </w:rPr>
              <w:t>Wie oft und in welcher Form hat der Beirat seit 2023 von seinen Zustimmungsvorbehalten Gebrauch gemacht?</w:t>
            </w:r>
          </w:p>
        </w:tc>
      </w:tr>
      <w:tr>
        <w:tc>
          <w:tcPr>
            <w:tcW w:type="dxa" w:w="4320"/>
          </w:tcPr>
          <w:p>
            <w:r/>
            <w:r>
              <w:rPr>
                <w:rFonts w:ascii="Times New Roman" w:hAnsi="Times New Roman"/>
                <w:sz w:val="20"/>
              </w:rPr>
              <w:t>3</w:t>
            </w:r>
          </w:p>
        </w:tc>
        <w:tc>
          <w:tcPr>
            <w:tcW w:type="dxa" w:w="4320"/>
          </w:tcPr>
          <w:p>
            <w:r/>
            <w:r>
              <w:rPr>
                <w:rFonts w:ascii="Times New Roman" w:hAnsi="Times New Roman"/>
                <w:sz w:val="20"/>
              </w:rPr>
              <w:t>Wurde die variable Vergütung in den Jahren 2023 bis 2025 tatsächlich vollständig, teilweise oder gar nicht ausgezahlt?</w:t>
            </w:r>
          </w:p>
        </w:tc>
      </w:tr>
      <w:tr>
        <w:tc>
          <w:tcPr>
            <w:tcW w:type="dxa" w:w="4320"/>
          </w:tcPr>
          <w:p>
            <w:r/>
            <w:r>
              <w:rPr>
                <w:rFonts w:ascii="Times New Roman" w:hAnsi="Times New Roman"/>
                <w:sz w:val="20"/>
              </w:rPr>
              <w:t>4</w:t>
            </w:r>
          </w:p>
        </w:tc>
        <w:tc>
          <w:tcPr>
            <w:tcW w:type="dxa" w:w="4320"/>
          </w:tcPr>
          <w:p>
            <w:r/>
            <w:r>
              <w:rPr>
                <w:rFonts w:ascii="Times New Roman" w:hAnsi="Times New Roman"/>
                <w:sz w:val="20"/>
              </w:rPr>
              <w:t>In welchem Umfang hat Herr Dr. Vogt seinen vertraglichen Urlaubsanspruch tatsächlich genommen?</w:t>
            </w:r>
          </w:p>
        </w:tc>
      </w:tr>
      <w:tr>
        <w:tc>
          <w:tcPr>
            <w:tcW w:type="dxa" w:w="4320"/>
          </w:tcPr>
          <w:p>
            <w:r/>
            <w:r>
              <w:rPr>
                <w:rFonts w:ascii="Times New Roman" w:hAnsi="Times New Roman"/>
                <w:sz w:val="20"/>
              </w:rPr>
              <w:t>5</w:t>
            </w:r>
          </w:p>
        </w:tc>
        <w:tc>
          <w:tcPr>
            <w:tcW w:type="dxa" w:w="4320"/>
          </w:tcPr>
          <w:p>
            <w:r/>
            <w:r>
              <w:rPr>
                <w:rFonts w:ascii="Times New Roman" w:hAnsi="Times New Roman"/>
                <w:sz w:val="20"/>
              </w:rPr>
              <w:t>Besteht neben der Bürgschaft ein Gesellschafterdarlehen oder eine Nachrangabrede von Herrn Dr. Vogt gegenüber der Gesellschaft?</w:t>
            </w:r>
          </w:p>
        </w:tc>
      </w:tr>
      <w:tr>
        <w:tc>
          <w:tcPr>
            <w:tcW w:type="dxa" w:w="4320"/>
          </w:tcPr>
          <w:p>
            <w:r/>
            <w:r>
              <w:rPr>
                <w:rFonts w:ascii="Times New Roman" w:hAnsi="Times New Roman"/>
                <w:sz w:val="20"/>
              </w:rPr>
              <w:t>6</w:t>
            </w:r>
          </w:p>
        </w:tc>
        <w:tc>
          <w:tcPr>
            <w:tcW w:type="dxa" w:w="4320"/>
          </w:tcPr>
          <w:p>
            <w:r/>
            <w:r>
              <w:rPr>
                <w:rFonts w:ascii="Times New Roman" w:hAnsi="Times New Roman"/>
                <w:sz w:val="20"/>
              </w:rPr>
              <w:t>Wie wurde die Sperrminorität nach Paragraf 6.5 des Gesellschaftsvertrags seit ihrer Einführung im September 2025 in der Praxis gehandhabt?</w:t>
            </w:r>
          </w:p>
        </w:tc>
      </w:tr>
    </w:tbl>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Deutsche Rentenversicherung Bund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Deutsche Rentenversicherung Bund</w:t>
    </w:r>
  </w:p>
  <w:p>
    <w:pPr>
      <w:jc w:val="left"/>
      <w:pBdr>
        <w:bottom w:val="single" w:sz="6" w:space="2" w:color="3B3F45"/>
      </w:pBdr>
    </w:pPr>
    <w:r>
      <w:rPr>
        <w:rFonts w:ascii="Times New Roman" w:hAnsi="Times New Roman"/>
        <w:color w:val="6B6B66"/>
        <w:sz w:val="16"/>
      </w:rPr>
      <w:t>Behörde · Aktenzeichen: SV-2023-771402-VOGT -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