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i w:val="0"/>
          <w:sz w:val="22"/>
        </w:rPr>
        <w:t>Deutsche Rentenversicherung Bund</w:t>
      </w:r>
    </w:p>
    <w:p>
      <w:r>
        <w:rPr>
          <w:rFonts w:ascii="Times New Roman" w:hAnsi="Times New Roman"/>
          <w:b w:val="0"/>
          <w:i w:val="0"/>
          <w:sz w:val="22"/>
        </w:rPr>
        <w:t>Prozessvertretung, Dezernat Statusfeststellung</w:t>
      </w:r>
    </w:p>
    <w:p>
      <w:r>
        <w:rPr>
          <w:rFonts w:ascii="Times New Roman" w:hAnsi="Times New Roman"/>
          <w:b w:val="0"/>
          <w:i w:val="0"/>
          <w:sz w:val="22"/>
        </w:rPr>
        <w:t>Ruhrstraße 2, 10709 Berlin</w:t>
      </w:r>
    </w:p>
    <w:p/>
    <w:p>
      <w:r>
        <w:rPr>
          <w:rFonts w:ascii="Times New Roman" w:hAnsi="Times New Roman"/>
          <w:b w:val="0"/>
          <w:i w:val="0"/>
          <w:sz w:val="22"/>
        </w:rPr>
        <w:t>Aktenzeichen: SV-2023-771402-VOGT - Berlin, den 30.06.2026</w:t>
      </w:r>
    </w:p>
    <w:p>
      <w:r>
        <w:rPr>
          <w:rFonts w:ascii="Times New Roman" w:hAnsi="Times New Roman"/>
          <w:b w:val="0"/>
          <w:i w:val="0"/>
          <w:sz w:val="22"/>
        </w:rPr>
        <w:t>An das Sozialgericht Erlangen, Az. S 5 R 214/26</w:t>
      </w:r>
    </w:p>
    <w:p>
      <w:pPr>
        <w:pStyle w:val="Heading1"/>
      </w:pPr>
      <w:r>
        <w:t>Klageerwiderung</w:t>
      </w:r>
    </w:p>
    <w:p>
      <w:r>
        <w:rPr>
          <w:rFonts w:ascii="Times New Roman" w:hAnsi="Times New Roman"/>
          <w:b w:val="0"/>
          <w:i w:val="0"/>
          <w:sz w:val="22"/>
        </w:rPr>
        <w:t>In dem Rechtsstreit Neuralis MedTech GmbH und Dr. Henrik Vogt gegen Deutsche Rentenversicherung Bund</w:t>
      </w:r>
    </w:p>
    <w:p>
      <w:pPr>
        <w:pStyle w:val="Heading2"/>
      </w:pPr>
      <w:r>
        <w:t>1 Antrag</w:t>
      </w:r>
    </w:p>
    <w:p>
      <w:r>
        <w:rPr>
          <w:rFonts w:ascii="Times New Roman" w:hAnsi="Times New Roman"/>
          <w:b w:val="0"/>
          <w:i w:val="0"/>
          <w:sz w:val="22"/>
        </w:rPr>
        <w:t>Die Klage wird abgewiesen.</w:t>
      </w:r>
    </w:p>
    <w:p>
      <w:pPr>
        <w:pStyle w:val="Heading2"/>
      </w:pPr>
      <w:r>
        <w:t>2 Begründung</w:t>
      </w:r>
    </w:p>
    <w:p>
      <w:r>
        <w:rPr>
          <w:rFonts w:ascii="Times New Roman" w:hAnsi="Times New Roman"/>
          <w:b w:val="0"/>
          <w:i w:val="0"/>
          <w:sz w:val="22"/>
        </w:rPr>
        <w:t>2.1 Die von den Klägern angeführte Sperrminorität nach Paragraf 6.5 des Gesellschaftsvertrags ist gegenständlich eng begrenzt. Sie betrifft ausschließlich Weisungen, die eine laufende klinische Studie unmittelbar unterbrechen, sowie Änderungen des Ressorts des Klägers zu 2. Sie erstreckt sich nicht auf Beschlüsse zur Abberufung, zur Vergütung, zur Feststellung des Jahresabschlusses oder zu sonstigen für die Statusbeurteilung zentralen Fragen.</w:t>
      </w:r>
    </w:p>
    <w:p>
      <w:r>
        <w:rPr>
          <w:rFonts w:ascii="Times New Roman" w:hAnsi="Times New Roman"/>
          <w:b w:val="0"/>
          <w:i w:val="0"/>
          <w:sz w:val="22"/>
        </w:rPr>
        <w:t>2.2 Nach der Rechtsprechung des Bundessozialgerichts genügt eine derart punktuelle Sperrminorität nicht, um eine umfassende Rechtsmacht zu begründen, die es dem Gesellschafter-Geschäftsführer erlaubt, ihm nicht genehme Weisungen in allen für das Anstellungsverhältnis wesentlichen Fragen zu verhindern (Bundessozialgericht, Urteil vom 08.07.2020, B 12 R 6/19 R).</w:t>
      </w:r>
    </w:p>
    <w:p>
      <w:r>
        <w:rPr>
          <w:rFonts w:ascii="Times New Roman" w:hAnsi="Times New Roman"/>
          <w:b w:val="0"/>
          <w:i w:val="0"/>
          <w:sz w:val="22"/>
        </w:rPr>
        <w:t>2.3 Die Beiratsprotokolle belegen im Übrigen, dass der Beirat wiederholt in die operative Führung eingegriffen hat, etwa durch die Weisung zur Verschiebung von Neueinstellungen vom 06.05.2026 und durch die Verweigerung des Budgets für die zweite klinische Studie am 14.02.2025, wo der Kläger zu 2 lediglich ein Alternativbudget vorlegen, die Verschiebung aber letztlich hinnehmen musste.</w:t>
      </w:r>
    </w:p>
    <w:p>
      <w:r>
        <w:rPr>
          <w:rFonts w:ascii="Times New Roman" w:hAnsi="Times New Roman"/>
          <w:b w:val="0"/>
          <w:i w:val="0"/>
          <w:sz w:val="22"/>
        </w:rPr>
        <w:t>2.4 Die persönliche Bürgschaft begründet ein zivilrechtliches Haftungsrisiko gegenüber der Bank, nicht jedoch eine gesellschaftsrechtliche Rechtsmacht gegenüber der Klägerin zu 1 und ihren Organen. Nach der Rechtsprechung des Bundessozialgerichts ist ein Unternehmerrisiko nur dann von Bedeutung, wenn ihm eine entsprechende Rechtsmacht gegenübersteht (Bundessozialgericht, Urteil vom 14.03.2018, B 12 KR 13/17 R).</w:t>
      </w:r>
    </w:p>
    <w:p>
      <w:r>
        <w:rPr>
          <w:rFonts w:ascii="Times New Roman" w:hAnsi="Times New Roman"/>
          <w:b w:val="0"/>
          <w:i w:val="0"/>
          <w:sz w:val="22"/>
        </w:rPr>
        <w:t>2.5 Die vertraglichen Regelungen zu Vergütung, Urlaub und Entgeltfortzahlung entsprechen typischen Arbeitnehmerschutzrechten und sind im Rahmen der Gesamtwürdigung zu berücksichtigen.</w:t>
      </w:r>
    </w:p>
    <w:p>
      <w:pPr>
        <w:pStyle w:val="Heading2"/>
      </w:pPr>
      <w:r>
        <w:t>3 Hinweis zur gebotenen Gesamtwürdigung</w:t>
      </w:r>
    </w:p>
    <w:p>
      <w:r>
        <w:rPr>
          <w:rFonts w:ascii="Times New Roman" w:hAnsi="Times New Roman"/>
          <w:b w:val="0"/>
          <w:i w:val="0"/>
          <w:sz w:val="22"/>
        </w:rPr>
        <w:t>Die Beklagte regt an, im Rahmen der mündlichen Verhandlung insbesondere die tatsächliche Handhabung der Sperrminorität seit September 2025 sowie den Umgang mit der variablen Vergütung in den Jahren 2023 bis 2025 aufzuklären.</w:t>
      </w:r>
    </w:p>
    <w:p>
      <w:r>
        <w:rPr>
          <w:rFonts w:ascii="Times New Roman" w:hAnsi="Times New Roman"/>
          <w:b w:val="0"/>
          <w:i w:val="0"/>
          <w:sz w:val="22"/>
        </w:rPr>
        <w:t>i.A. Prozessvertretung Statusfeststellung</w:t>
      </w:r>
    </w:p>
    <w:sectPr w:rsidR="00FC693F" w:rsidRPr="0006063C" w:rsidSect="00034616">
      <w:headerReference w:type="default" r:id="rId9"/>
      <w:footerReference w:type="default" r:id="rId10"/>
      <w:pgSz w:w="11906" w:h="16838"/>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Deutsche Rentenversicherung Bund</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Deutsche Rentenversicherung Bund</w:t>
    </w:r>
  </w:p>
  <w:p>
    <w:pPr>
      <w:jc w:val="left"/>
      <w:pBdr>
        <w:bottom w:val="single" w:sz="6" w:space="2" w:color="3B3F45"/>
      </w:pBdr>
    </w:pPr>
    <w:r>
      <w:rPr>
        <w:rFonts w:ascii="Times New Roman" w:hAnsi="Times New Roman"/>
        <w:color w:val="6B6B66"/>
        <w:sz w:val="16"/>
      </w:rPr>
      <w:t>Behörde · Aktenzeichen: SV-2023-771402-VOGT - Berlin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