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zweiten Beschuldigtenvernehmung</w:t>
      </w:r>
    </w:p>
    <w:p>
      <w:pPr>
        <w:jc w:val="left"/>
      </w:pPr>
      <w:r>
        <w:rPr>
          <w:b/>
        </w:rPr>
        <w:t>Polizeipräsidium Mittelfranken · Kriminalpolizeiinspektion Nürnberg</w:t>
      </w:r>
    </w:p>
    <w:p>
      <w:pPr>
        <w:jc w:val="left"/>
      </w:pPr>
      <w:r>
        <w:t>Fachkommissariat K 25 — Wirtschaftskriminalität · Jakobsplatz 5 · 90402 Nürnberg</w:t>
      </w:r>
    </w:p>
    <w:p>
      <w:pPr>
        <w:jc w:val="left"/>
      </w:pPr>
      <w:r>
        <w:t>Tgb.-Nr. K25-2026-0387 · StA Nürnberg-Fürth, 507 Js 2214/26 (Bl. 84–90 d. A.)</w:t>
      </w:r>
    </w:p>
    <w:p>
      <w:pPr>
        <w:jc w:val="left"/>
      </w:pPr>
      <w:r>
        <w:t>Nürnberg, den 9. Juni 2026</w:t>
      </w:r>
    </w:p>
    <w:p>
      <w:pPr>
        <w:jc w:val="left"/>
      </w:pPr>
      <w:r>
        <w:rPr>
          <w:b/>
        </w:rPr>
        <w:t>Vernehmung des Beschuldigten Robert Zellinger — zweite Vernehmung, in Anwesenheit des Verteidigers</w:t>
      </w:r>
    </w:p>
    <w:p>
      <w:pPr>
        <w:jc w:val="left"/>
      </w:pPr>
      <w:r>
        <w:t>Beginn: 10:00 Uhr · Ende: 11:45 Uhr · Unterbrechung (Pause zur Beratung mit dem Verteidiger): 10:50 Uhr bis 11:05 Uhr</w:t>
      </w:r>
    </w:p>
    <w:p>
      <w:pPr>
        <w:jc w:val="left"/>
      </w:pPr>
      <w:r>
        <w:t>Vernehmender: KHK Salzner · Protokoll: KOKin Brandstetter · Anwesend: Rechtsanwalt Dr. Matthias Grundhöfer, Nürnberg (Verteidiger)</w:t>
      </w:r>
    </w:p>
    <w:p>
      <w:pPr>
        <w:jc w:val="left"/>
      </w:pPr>
      <w:r>
        <w:rPr>
          <w:b/>
        </w:rPr>
        <w:t>Zur Person:</w:t>
      </w:r>
      <w:r>
        <w:t xml:space="preserve"> Wie in der Vernehmung vom 14.04.2026 (Bl. 32–38 d. A.); keine Änderungen.</w:t>
      </w:r>
    </w:p>
    <w:p>
      <w:pPr>
        <w:jc w:val="left"/>
      </w:pPr>
      <w:r>
        <w:rPr>
          <w:b/>
        </w:rPr>
        <w:t>Belehrung:</w:t>
      </w:r>
      <w:r>
        <w:t xml:space="preserve"> Der Beschuldigte wurde erneut nach §§ 136 Abs. 1, 163a Abs. 4 StPO belehrt. Er erklärte, die Belehrung verstanden zu haben; er wolle sich nach Beratung mit seinem Verteidiger ergänzend äußern.</w:t>
      </w:r>
    </w:p>
    <w:p>
      <w:pPr>
        <w:jc w:val="left"/>
      </w:pPr>
      <w:r>
        <w:rPr>
          <w:b/>
        </w:rPr>
        <w:t>Zur Sache:</w:t>
      </w:r>
    </w:p>
    <w:p>
      <w:pPr>
        <w:jc w:val="left"/>
      </w:pPr>
      <w:r>
        <w:t>„Meine Angaben vom 14. April möchte ich präzisieren. Wenn ich damals gesagt habe, sämtliche Gelder seien in die Projekte geflossen, dann war das aus der Erinnerung heraus zu pauschal. Richtig ist: Ein erheblicher Teil der Gelder war für die Projekte vorgesehen und ist teilweise auch geflossen. Ein anderer Teil wurde zwischengeparkt — auf dem Geschäftskonto —, weil sich Pegnitztal wegen der Genehmigungslage und der Modulpreise immer weiter verschoben hat. Aus diesem Topf haben wir die laufenden Ausschüttungen bedient. Das war als Überbrückung gedacht, nicht als Dauerzustand.</w:t>
      </w:r>
    </w:p>
    <w:p>
      <w:pPr>
        <w:jc w:val="left"/>
      </w:pPr>
      <w:r>
        <w:t>Mir war bewusst, dass das auf Dauer nicht gutgehen kann. Ich bin aber bis zuletzt davon ausgegangen, dass Pegnitztal kommt und alles auffängt. Es gab konkrete Gespräche mit einem Projektentwickler, Unterlagen dazu reicht mein Verteidiger nach. Ein Schneeballsystem wollte ich nie aufbauen. Ich habe keinen einzigen Anleger für dumm verkaufen wollen; ich habe zu spät die Reißleine gezogen, das räume ich ein."</w:t>
      </w:r>
    </w:p>
    <w:p>
      <w:pPr>
        <w:jc w:val="left"/>
      </w:pPr>
      <w:r>
        <w:rPr>
          <w:b/>
        </w:rPr>
        <w:t>Frage:</w:t>
      </w:r>
      <w:r>
        <w:t xml:space="preserve"> In Ihrer ersten Vernehmung sagten Sie, es sei „durchgehend investiert" worden. Nach der Kontoauswertung erfolgte die letzte als Projektinvestition erkennbare Zahlung im August 2024. Was sagen Sie dazu?</w:t>
      </w:r>
    </w:p>
    <w:p>
      <w:pPr>
        <w:jc w:val="left"/>
      </w:pPr>
      <w:r>
        <w:rPr>
          <w:b/>
        </w:rPr>
        <w:t>Antwort:</w:t>
      </w:r>
      <w:r>
        <w:t xml:space="preserve"> „Wenn das Konto das so hergibt, wird es stimmen. Dann war die letzte Zahlung eben im Sommer 2024. Durchgehend investiert war ungenau formuliert, das nehme ich zurück."</w:t>
      </w:r>
    </w:p>
    <w:p>
      <w:pPr>
        <w:jc w:val="left"/>
      </w:pPr>
      <w:r>
        <w:rPr>
          <w:b/>
        </w:rPr>
        <w:t>Frage:</w:t>
      </w:r>
      <w:r>
        <w:t xml:space="preserve"> In einer E-Mail vom 17.09.2024 an Ihr Vertriebsteam schreiben Sie, die Projektschiene werde hinten angestellt und die Auszahlungen liefen „aus dem Bestand". Wie passt das zu Ihrer Erklärung gegenüber den Anlegern, die Gelder würden in Projekte investiert?</w:t>
      </w:r>
    </w:p>
    <w:p>
      <w:pPr>
        <w:jc w:val="left"/>
      </w:pPr>
      <w:r>
        <w:rPr>
          <w:b/>
        </w:rPr>
        <w:t>Antwort:</w:t>
      </w:r>
      <w:r>
        <w:t xml:space="preserve"> Nach Beratung mit dem Verteidiger (Pause von 10:50 Uhr bis 11:05 Uhr): „Zu einzelnen Dokumenten äußere ich mich erst nach vollständiger Akteneinsicht meines Verteidigers. Ich bleibe dabei, dass ich die Anleger nicht täuschen wollte."</w:t>
      </w:r>
    </w:p>
    <w:p>
      <w:pPr>
        <w:jc w:val="left"/>
      </w:pPr>
      <w:r>
        <w:rPr>
          <w:b/>
        </w:rPr>
        <w:t>Frage:</w:t>
      </w:r>
      <w:r>
        <w:t xml:space="preserve"> Warum haben Sie im November 2025 die Kapitalrückzahlung an den Anleger Blankertz von zwei Neuzeichnungen im selben Monat abhängig gemacht?</w:t>
      </w:r>
    </w:p>
    <w:p>
      <w:pPr>
        <w:jc w:val="left"/>
      </w:pPr>
      <w:r>
        <w:rPr>
          <w:b/>
        </w:rPr>
        <w:t>Antwort:</w:t>
      </w:r>
      <w:r>
        <w:t xml:space="preserve"> „Dazu sage ich nichts."</w:t>
      </w:r>
    </w:p>
    <w:p>
      <w:pPr>
        <w:jc w:val="left"/>
      </w:pPr>
      <w:r>
        <w:rPr>
          <w:b/>
        </w:rPr>
        <w:t>Frage:</w:t>
      </w:r>
      <w:r>
        <w:t xml:space="preserve"> Wovon haben Sie die Anzahlung für Kitzbühel und den Pkw bezahlt?</w:t>
      </w:r>
    </w:p>
    <w:p>
      <w:pPr>
        <w:jc w:val="left"/>
      </w:pPr>
      <w:r>
        <w:rPr>
          <w:b/>
        </w:rPr>
        <w:t>Antwort:</w:t>
      </w:r>
      <w:r>
        <w:t xml:space="preserve"> „Dazu verweise ich auf meinen Verteidiger. Nur so viel: Ich hatte einen Geschäftsführeranstellungsvertrag mit einem festen Gehalt, und ich habe die Entnahmen immer als Gehalt und Tantieme verstanden."</w:t>
      </w:r>
    </w:p>
    <w:p>
      <w:pPr>
        <w:jc w:val="left"/>
      </w:pPr>
      <w:r>
        <w:rPr>
          <w:b/>
        </w:rPr>
        <w:t>Abschluss:</w:t>
      </w:r>
      <w:r>
        <w:t xml:space="preserve"> Das Protokoll wurde dem Beschuldigten vorgelesen, von ihm genehmigt und unterschrieben. Der Verteidiger erhielt eine Mehrfertigung.</w:t>
      </w:r>
    </w:p>
    <w:p>
      <w:pPr>
        <w:jc w:val="left"/>
      </w:pPr>
      <w:r>
        <w:t>gez. Robert Zellinger (Beschuldigter)</w:t>
      </w:r>
    </w:p>
    <w:p>
      <w:pPr>
        <w:jc w:val="left"/>
      </w:pPr>
      <w:r>
        <w:t>gez. Dr. Grundhöfer, Rechtsanwalt (Verteidiger)</w:t>
      </w:r>
    </w:p>
    <w:p>
      <w:pPr>
        <w:jc w:val="left"/>
      </w:pPr>
      <w:r>
        <w:t>gez. Salzner, KHK (Vernehmender)</w:t>
      </w:r>
    </w:p>
    <w:p>
      <w:pPr>
        <w:jc w:val="left"/>
      </w:pPr>
      <w:r>
        <w:t>gez. Brandstetter, KOKin (Protokoll)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Matthias Grundhöfer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RECHTSANWALT DR. MATTHIAS GRUNDHÖFER</w:t>
    </w:r>
  </w:p>
  <w:p>
    <w:pPr>
      <w:jc w:val="left"/>
      <w:pBdr>
        <w:bottom w:val="single" w:sz="8" w:space="2" w:color="1F3864"/>
      </w:pBdr>
    </w:pPr>
    <w:r>
      <w:rPr>
        <w:rFonts w:ascii="Times New Roman" w:hAnsi="Times New Roman"/>
        <w:color w:val="6B6B66"/>
        <w:sz w:val="16"/>
      </w:rPr>
      <w:t>Nürnberg (Verteidiger) · 507 Js 2214/26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