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Landgericht Magdeburg, Schwurgerichtskammer 1 | Staatsanwaltschaft Magdeburg, 1 Js 5582/26</w:t>
      </w:r>
    </w:p>
    <w:p>
      <w:pPr>
        <w:pStyle w:val="Heading2"/>
      </w:pPr>
      <w:r>
        <w:t>Arbeitsfassung Sachverhalt</w:t>
      </w:r>
    </w:p>
    <w:p>
      <w:pPr>
        <w:spacing w:after="120" w:line="259" w:lineRule="auto"/>
      </w:pPr>
      <w:r>
        <w:t>In der Lagerhalle der ElbeLager GmbH brannte ein abgetrennter Bereich mit Textilien und Elektrokleingeräten. Menschen wurden nicht verletzt; in einer angrenzenden Büroeinheit befand sich nachts ein Wachmann, der Rauch bemerkte und die Feuerwehr alarmierte. Der Brandsachverständige fand Rückstände eines Brandbeschleunigers nahe Tor 3.</w:t>
      </w:r>
    </w:p>
    <w:p>
      <w:pPr>
        <w:spacing w:after="120" w:line="259" w:lineRule="auto"/>
      </w:pPr>
      <w:r>
        <w:t>Die Staatsanwaltschaft sieht ein Versicherungsmotiv, weil die GmbH seit Monaten Liquiditätsprobleme hatte und kurz zuvor die Warenversicherung erhöht wurde. Brandner hält entgegen, dass die Erhöhung Teil einer allgemeinen Policeanpassung war und ein defekter Schaltschrank im Bereich Tor 3 wiederholt gemeldet wurde. Die Videoanlage fiel zwischen 01:58 Uhr und 02:31 Uhr aus.</w:t>
      </w:r>
    </w:p>
    <w:p>
      <w:pPr>
        <w:spacing w:after="120" w:line="259" w:lineRule="auto"/>
      </w:pPr>
      <w:r>
        <w:t>Die Akte zwingt zur Trennung von Brandursache, Anwesenheitsindizien, Versicherungsmotiv und Gefährdungslage. Für die Haftfrage sind dringender Tatverdacht, Verdunkelungsgefahr und der Beweiswert der Brandbeschleuniger-Spuren entscheidend.</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18.05.2026</w:t>
            </w:r>
          </w:p>
        </w:tc>
        <w:tc>
          <w:tcPr>
            <w:tcW w:type="dxa" w:w="4986"/>
            <w:vAlign w:val="top"/>
          </w:tcPr>
          <w:p>
            <w:r>
              <w:t>Brand in Lagerhalle Rothensee um 02:14 Uhr</w:t>
            </w:r>
          </w:p>
        </w:tc>
      </w:tr>
      <w:tr>
        <w:tc>
          <w:tcPr>
            <w:tcW w:type="dxa" w:w="4986"/>
            <w:vAlign w:val="top"/>
          </w:tcPr>
          <w:p>
            <w:r>
              <w:t>19.05.2026</w:t>
            </w:r>
          </w:p>
        </w:tc>
        <w:tc>
          <w:tcPr>
            <w:tcW w:type="dxa" w:w="4986"/>
            <w:vAlign w:val="top"/>
          </w:tcPr>
          <w:p>
            <w:r>
              <w:t>Brandsachverständiger findet Brandbeschleuniger-Spuren</w:t>
            </w:r>
          </w:p>
        </w:tc>
      </w:tr>
      <w:tr>
        <w:tc>
          <w:tcPr>
            <w:tcW w:type="dxa" w:w="4986"/>
            <w:vAlign w:val="top"/>
          </w:tcPr>
          <w:p>
            <w:r>
              <w:t>20.05.2026</w:t>
            </w:r>
          </w:p>
        </w:tc>
        <w:tc>
          <w:tcPr>
            <w:tcW w:type="dxa" w:w="4986"/>
            <w:vAlign w:val="top"/>
          </w:tcPr>
          <w:p>
            <w:r>
              <w:t>Versicherer fragt Inventarwerte und Alarmanlage ab</w:t>
            </w:r>
          </w:p>
        </w:tc>
      </w:tr>
      <w:tr>
        <w:tc>
          <w:tcPr>
            <w:tcW w:type="dxa" w:w="4986"/>
            <w:vAlign w:val="top"/>
          </w:tcPr>
          <w:p>
            <w:r>
              <w:t>27.05.2026</w:t>
            </w:r>
          </w:p>
        </w:tc>
        <w:tc>
          <w:tcPr>
            <w:tcW w:type="dxa" w:w="4986"/>
            <w:vAlign w:val="top"/>
          </w:tcPr>
          <w:p>
            <w:r>
              <w:t>Beschuldigter wird vorläufig festgenommen</w:t>
            </w:r>
          </w:p>
        </w:tc>
      </w:tr>
      <w:tr>
        <w:tc>
          <w:tcPr>
            <w:tcW w:type="dxa" w:w="4986"/>
            <w:vAlign w:val="top"/>
          </w:tcPr>
          <w:p>
            <w:r>
              <w:t>10.06.2026</w:t>
            </w:r>
          </w:p>
        </w:tc>
        <w:tc>
          <w:tcPr>
            <w:tcW w:type="dxa" w:w="4986"/>
            <w:vAlign w:val="top"/>
          </w:tcPr>
          <w:p>
            <w:r>
              <w:t>Haftbeschwerde in Vorbereitung</w:t>
            </w:r>
          </w:p>
        </w:tc>
      </w:tr>
      <w:tr>
        <w:tc>
          <w:tcPr>
            <w:tcW w:type="dxa" w:w="4986"/>
            <w:vAlign w:val="top"/>
          </w:tcPr>
          <w:p>
            <w:r>
              <w:t>22.07.2026</w:t>
            </w:r>
          </w:p>
        </w:tc>
        <w:tc>
          <w:tcPr>
            <w:tcW w:type="dxa" w:w="4986"/>
            <w:vAlign w:val="top"/>
          </w:tcPr>
          <w:p>
            <w:r>
              <w:t>Gutachtenergänzung zu elektrischer Ursache angekündigt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Magdeburg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Magdeburg</w:t>
    </w:r>
  </w:p>
  <w:p>
    <w:pPr>
      <w:jc w:val="left"/>
      <w:pBdr>
        <w:bottom w:val="single" w:sz="6" w:space="2" w:color="3B3F45"/>
      </w:pBdr>
    </w:pPr>
    <w:r>
      <w:rPr>
        <w:rFonts w:ascii="Times New Roman" w:hAnsi="Times New Roman"/>
        <w:color w:val="6B6B66"/>
        <w:sz w:val="16"/>
      </w:rPr>
      <w:t>Schwurgerichtskammer 1 | Staatsanwaltschaft Magdeburg, 1 Js 5582/26 · 1 Js 5582/26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