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Ermittlungsakte Auszüge und Beweislage</w:t>
      </w:r>
    </w:p>
    <w:p>
      <w:r>
        <w:rPr>
          <w:i/>
          <w:sz w:val="20"/>
        </w:rPr>
        <w:t>Landgericht Magdeburg, Schwurgerichtskammer 1 | Staatsanwaltschaft Magdeburg, 1 Js 5582/26</w:t>
      </w:r>
    </w:p>
    <w:p>
      <w:pPr>
        <w:pStyle w:val="Heading2"/>
      </w:pPr>
      <w:r>
        <w:t>Aktenauszug</w:t>
      </w:r>
    </w:p>
    <w:p>
      <w:pPr>
        <w:spacing w:after="120" w:line="259" w:lineRule="auto"/>
      </w:pPr>
      <w:r>
        <w:t>Staatsanwaltschaft Magdeburg, 1 Js 5582/26 führt die Sache derzeit mit Schwerpunkt auf: schwere Brandstiftung nach Paragraf 306a StGB; Versicherungsbetrug nach Paragraf 263 StGB; Vortäuschen eines Versicherungsfalls.</w:t>
      </w:r>
    </w:p>
    <w:p>
      <w:pPr>
        <w:spacing w:after="120" w:line="259" w:lineRule="auto"/>
      </w:pPr>
      <w:r>
        <w:t>Die Ermittlungsakte enthält bereits mehrere belastende Indizien, aber bei einzelnen Beweismitteln fehlen Rohdaten, Sicherungsvermerke oder Anschlussvernehmungen.</w:t>
      </w:r>
    </w:p>
    <w:p>
      <w:pPr>
        <w:spacing w:after="120" w:line="259" w:lineRule="auto"/>
      </w:pPr>
      <w:r>
        <w:t>Für eine gerichtsfeste Bearbeitung müssen Blattstellen, Dateiherkunft und Beweisrichtung nachgetragen werden. Jede spätere Stellungnahme sollte sichtbar machen, was bewiesen ist, was nur behauptet wird und was noch aufgeklärt werden muss.</w:t>
      </w:r>
    </w:p>
    <w:p>
      <w:pPr>
        <w:pStyle w:val="Heading2"/>
      </w:pPr>
      <w:r>
        <w:t>Beweismittelübersicht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Spalte 1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2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3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4</w:t>
            </w:r>
          </w:p>
        </w:tc>
      </w:tr>
      <w:tr>
        <w:tc>
          <w:tcPr>
            <w:tcW w:type="dxa" w:w="2493"/>
            <w:vAlign w:val="top"/>
          </w:tcPr>
          <w:p>
            <w:r>
              <w:t>Brandsachverständiger</w:t>
            </w:r>
          </w:p>
        </w:tc>
        <w:tc>
          <w:tcPr>
            <w:tcW w:type="dxa" w:w="2493"/>
            <w:vAlign w:val="top"/>
          </w:tcPr>
          <w:p>
            <w:r>
              <w:t>Gutachten Vorabfassung</w:t>
            </w:r>
          </w:p>
        </w:tc>
        <w:tc>
          <w:tcPr>
            <w:tcW w:type="dxa" w:w="2493"/>
            <w:vAlign w:val="top"/>
          </w:tcPr>
          <w:p>
            <w:r>
              <w:t>Brandbeschleuniger-Spur</w:t>
            </w:r>
          </w:p>
        </w:tc>
        <w:tc>
          <w:tcPr>
            <w:tcW w:type="dxa" w:w="2493"/>
            <w:vAlign w:val="top"/>
          </w:tcPr>
          <w:p>
            <w:r>
              <w:t>elektrischer Defekt noch offen</w:t>
            </w:r>
          </w:p>
        </w:tc>
      </w:tr>
      <w:tr>
        <w:tc>
          <w:tcPr>
            <w:tcW w:type="dxa" w:w="2493"/>
            <w:vAlign w:val="top"/>
          </w:tcPr>
          <w:p>
            <w:r>
              <w:t>Versicherungspolice</w:t>
            </w:r>
          </w:p>
        </w:tc>
        <w:tc>
          <w:tcPr>
            <w:tcW w:type="dxa" w:w="2493"/>
            <w:vAlign w:val="top"/>
          </w:tcPr>
          <w:p>
            <w:r>
              <w:t>HanseMerkur Industrie</w:t>
            </w:r>
          </w:p>
        </w:tc>
        <w:tc>
          <w:tcPr>
            <w:tcW w:type="dxa" w:w="2493"/>
            <w:vAlign w:val="top"/>
          </w:tcPr>
          <w:p>
            <w:r>
              <w:t>Deckungserhöhung April</w:t>
            </w:r>
          </w:p>
        </w:tc>
        <w:tc>
          <w:tcPr>
            <w:tcW w:type="dxa" w:w="2493"/>
            <w:vAlign w:val="top"/>
          </w:tcPr>
          <w:p>
            <w:r>
              <w:t>auch andere Standorte erhöht</w:t>
            </w:r>
          </w:p>
        </w:tc>
      </w:tr>
      <w:tr>
        <w:tc>
          <w:tcPr>
            <w:tcW w:type="dxa" w:w="2493"/>
            <w:vAlign w:val="top"/>
          </w:tcPr>
          <w:p>
            <w:r>
              <w:t>Alarmprotokoll</w:t>
            </w:r>
          </w:p>
        </w:tc>
        <w:tc>
          <w:tcPr>
            <w:tcW w:type="dxa" w:w="2493"/>
            <w:vAlign w:val="top"/>
          </w:tcPr>
          <w:p>
            <w:r>
              <w:t>Securitas Wachdienst</w:t>
            </w:r>
          </w:p>
        </w:tc>
        <w:tc>
          <w:tcPr>
            <w:tcW w:type="dxa" w:w="2493"/>
            <w:vAlign w:val="top"/>
          </w:tcPr>
          <w:p>
            <w:r>
              <w:t>Rauchmeldung 02:14 Uhr</w:t>
            </w:r>
          </w:p>
        </w:tc>
        <w:tc>
          <w:tcPr>
            <w:tcW w:type="dxa" w:w="2493"/>
            <w:vAlign w:val="top"/>
          </w:tcPr>
          <w:p>
            <w:r>
              <w:t>Videoausfall ungeklärt</w:t>
            </w:r>
          </w:p>
        </w:tc>
      </w:tr>
      <w:tr>
        <w:tc>
          <w:tcPr>
            <w:tcW w:type="dxa" w:w="2493"/>
            <w:vAlign w:val="top"/>
          </w:tcPr>
          <w:p>
            <w:r>
              <w:t>Liquiditätsplan</w:t>
            </w:r>
          </w:p>
        </w:tc>
        <w:tc>
          <w:tcPr>
            <w:tcW w:type="dxa" w:w="2493"/>
            <w:vAlign w:val="top"/>
          </w:tcPr>
          <w:p>
            <w:r>
              <w:t>ElbeLager GmbH</w:t>
            </w:r>
          </w:p>
        </w:tc>
        <w:tc>
          <w:tcPr>
            <w:tcW w:type="dxa" w:w="2493"/>
            <w:vAlign w:val="top"/>
          </w:tcPr>
          <w:p>
            <w:r>
              <w:t>akute Zahlungslücke</w:t>
            </w:r>
          </w:p>
        </w:tc>
        <w:tc>
          <w:tcPr>
            <w:tcW w:type="dxa" w:w="2493"/>
            <w:vAlign w:val="top"/>
          </w:tcPr>
          <w:p>
            <w:r>
              <w:t>Sanierungsgespräch lief</w:t>
            </w:r>
          </w:p>
        </w:tc>
      </w:tr>
      <w:tr>
        <w:tc>
          <w:tcPr>
            <w:tcW w:type="dxa" w:w="2493"/>
            <w:vAlign w:val="top"/>
          </w:tcPr>
          <w:p>
            <w:r>
              <w:t>Funkzellendaten</w:t>
            </w:r>
          </w:p>
        </w:tc>
        <w:tc>
          <w:tcPr>
            <w:tcW w:type="dxa" w:w="2493"/>
            <w:vAlign w:val="top"/>
          </w:tcPr>
          <w:p>
            <w:r>
              <w:t>Handy Brandner</w:t>
            </w:r>
          </w:p>
        </w:tc>
        <w:tc>
          <w:tcPr>
            <w:tcW w:type="dxa" w:w="2493"/>
            <w:vAlign w:val="top"/>
          </w:tcPr>
          <w:p>
            <w:r>
              <w:t>nächtliche Nähe zum Gelände</w:t>
            </w:r>
          </w:p>
        </w:tc>
        <w:tc>
          <w:tcPr>
            <w:tcW w:type="dxa" w:w="2493"/>
            <w:vAlign w:val="top"/>
          </w:tcPr>
          <w:p>
            <w:r>
              <w:t>Wohnung liegt im selben Funkzellenbereich</w:t>
            </w:r>
          </w:p>
        </w:tc>
      </w:tr>
    </w:tbl>
    <w:p/>
    <w:p>
      <w:pPr>
        <w:pStyle w:val="Heading2"/>
      </w:pPr>
      <w:r>
        <w:t>Normanker</w:t>
      </w:r>
    </w:p>
    <w:p>
      <w:pPr>
        <w:pStyle w:val="ListBullet"/>
      </w:pPr>
      <w:r>
        <w:t>Paragraf 306 StGB</w:t>
      </w:r>
    </w:p>
    <w:p>
      <w:pPr>
        <w:pStyle w:val="ListBullet"/>
      </w:pPr>
      <w:r>
        <w:t>Paragraf 306a StGB</w:t>
      </w:r>
    </w:p>
    <w:p>
      <w:pPr>
        <w:pStyle w:val="ListBullet"/>
      </w:pPr>
      <w:r>
        <w:t>Paragraf 263 StGB</w:t>
      </w:r>
    </w:p>
    <w:p>
      <w:pPr>
        <w:pStyle w:val="ListBullet"/>
      </w:pPr>
      <w:r>
        <w:t>Paragraf 112 StPO</w:t>
      </w:r>
    </w:p>
    <w:p>
      <w:pPr>
        <w:pStyle w:val="ListBullet"/>
      </w:pPr>
      <w:r>
        <w:t>Paragraf 244 StPO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Magdeburg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Magdeburg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Schwurgerichtskammer 1 | Staatsanwaltschaft Magdeburg, 1 Js 5582/26 · 1 Js 5582/26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