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Ermittlungsakte Auszüge und Beweislage</w:t>
      </w:r>
    </w:p>
    <w:p>
      <w:r>
        <w:rPr>
          <w:i/>
          <w:sz w:val="20"/>
        </w:rPr>
        <w:t>Landgericht Köln, große Strafkammer 19 | Staatsanwaltschaft Köln, 19 Js 774/26</w:t>
      </w:r>
    </w:p>
    <w:p>
      <w:pPr>
        <w:pStyle w:val="Heading2"/>
      </w:pPr>
      <w:r>
        <w:t>Aktenauszug</w:t>
      </w:r>
    </w:p>
    <w:p>
      <w:pPr>
        <w:spacing w:after="120" w:line="259" w:lineRule="auto"/>
      </w:pPr>
      <w:r>
        <w:t>Staatsanwaltschaft Köln, 19 Js 774/26 führt die Sache derzeit mit Schwerpunkt auf: unerlaubtes Handeltreiben oder Besitz in nicht geringer Menge nach Betäubungsmittelrecht; Kurierwissen und Mittäterschaft als Kernfragen; Einziehung von Fahrzeug- und Kommunikationsmitteln.</w:t>
      </w:r>
    </w:p>
    <w:p>
      <w:pPr>
        <w:spacing w:after="120" w:line="259" w:lineRule="auto"/>
      </w:pPr>
      <w:r>
        <w:t>Die Ermittlungsakte enthält bereits mehrere belastende Indizien, aber bei einzelnen Beweismitteln fehlen Rohdaten, Sicherungsvermerke oder Anschlussvernehmungen.</w:t>
      </w:r>
    </w:p>
    <w:p>
      <w:pPr>
        <w:spacing w:after="120" w:line="259" w:lineRule="auto"/>
      </w:pPr>
      <w:r>
        <w:t>Für eine gerichtsfeste Bearbeitung müssen Blattstellen, Dateiherkunft und Beweisrichtung nachgetragen werden. Jede spätere Stellungnahme sollte sichtbar machen, was bewiesen ist, was nur behauptet wird und was noch aufgeklärt werden muss.</w:t>
      </w:r>
    </w:p>
    <w:p>
      <w:pPr>
        <w:pStyle w:val="Heading2"/>
      </w:pPr>
      <w:r>
        <w:t>Beweismittelübersicht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Spalte 1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2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3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4</w:t>
            </w:r>
          </w:p>
        </w:tc>
      </w:tr>
      <w:tr>
        <w:tc>
          <w:tcPr>
            <w:tcW w:type="dxa" w:w="2493"/>
            <w:vAlign w:val="top"/>
          </w:tcPr>
          <w:p>
            <w:r>
              <w:t>Sicherstellungsvermerk</w:t>
            </w:r>
          </w:p>
        </w:tc>
        <w:tc>
          <w:tcPr>
            <w:tcW w:type="dxa" w:w="2493"/>
            <w:vAlign w:val="top"/>
          </w:tcPr>
          <w:p>
            <w:r>
              <w:t>PRev Autobahn Köln</w:t>
            </w:r>
          </w:p>
        </w:tc>
        <w:tc>
          <w:tcPr>
            <w:tcW w:type="dxa" w:w="2493"/>
            <w:vAlign w:val="top"/>
          </w:tcPr>
          <w:p>
            <w:r>
              <w:t>Fundort Reserveradmulde</w:t>
            </w:r>
          </w:p>
        </w:tc>
        <w:tc>
          <w:tcPr>
            <w:tcW w:type="dxa" w:w="2493"/>
            <w:vAlign w:val="top"/>
          </w:tcPr>
          <w:p>
            <w:r>
              <w:t>keine Fotos vor Öffnung durch Fahrer</w:t>
            </w:r>
          </w:p>
        </w:tc>
      </w:tr>
      <w:tr>
        <w:tc>
          <w:tcPr>
            <w:tcW w:type="dxa" w:w="2493"/>
            <w:vAlign w:val="top"/>
          </w:tcPr>
          <w:p>
            <w:r>
              <w:t>Wirkstoffvortest</w:t>
            </w:r>
          </w:p>
        </w:tc>
        <w:tc>
          <w:tcPr>
            <w:tcW w:type="dxa" w:w="2493"/>
            <w:vAlign w:val="top"/>
          </w:tcPr>
          <w:p>
            <w:r>
              <w:t>Nal-von-Minden Teststreifen</w:t>
            </w:r>
          </w:p>
        </w:tc>
        <w:tc>
          <w:tcPr>
            <w:tcW w:type="dxa" w:w="2493"/>
            <w:vAlign w:val="top"/>
          </w:tcPr>
          <w:p>
            <w:r>
              <w:t>positiv Kokain</w:t>
            </w:r>
          </w:p>
        </w:tc>
        <w:tc>
          <w:tcPr>
            <w:tcW w:type="dxa" w:w="2493"/>
            <w:vAlign w:val="top"/>
          </w:tcPr>
          <w:p>
            <w:r>
              <w:t>nur vorläufig</w:t>
            </w:r>
          </w:p>
        </w:tc>
      </w:tr>
      <w:tr>
        <w:tc>
          <w:tcPr>
            <w:tcW w:type="dxa" w:w="2493"/>
            <w:vAlign w:val="top"/>
          </w:tcPr>
          <w:p>
            <w:r>
              <w:t>Handychat Marlin</w:t>
            </w:r>
          </w:p>
        </w:tc>
        <w:tc>
          <w:tcPr>
            <w:tcW w:type="dxa" w:w="2493"/>
            <w:vAlign w:val="top"/>
          </w:tcPr>
          <w:p>
            <w:r>
              <w:t>Telegram-Auszug</w:t>
            </w:r>
          </w:p>
        </w:tc>
        <w:tc>
          <w:tcPr>
            <w:tcW w:type="dxa" w:w="2493"/>
            <w:vAlign w:val="top"/>
          </w:tcPr>
          <w:p>
            <w:r>
              <w:t>Übergabeort Köln-Deutz</w:t>
            </w:r>
          </w:p>
        </w:tc>
        <w:tc>
          <w:tcPr>
            <w:tcW w:type="dxa" w:w="2493"/>
            <w:vAlign w:val="top"/>
          </w:tcPr>
          <w:p>
            <w:r>
              <w:t>Identität Marlin ungeklärt</w:t>
            </w:r>
          </w:p>
        </w:tc>
      </w:tr>
      <w:tr>
        <w:tc>
          <w:tcPr>
            <w:tcW w:type="dxa" w:w="2493"/>
            <w:vAlign w:val="top"/>
          </w:tcPr>
          <w:p>
            <w:r>
              <w:t>DNA-Spuren</w:t>
            </w:r>
          </w:p>
        </w:tc>
        <w:tc>
          <w:tcPr>
            <w:tcW w:type="dxa" w:w="2493"/>
            <w:vAlign w:val="top"/>
          </w:tcPr>
          <w:p>
            <w:r>
              <w:t>LKA Vorbericht</w:t>
            </w:r>
          </w:p>
        </w:tc>
        <w:tc>
          <w:tcPr>
            <w:tcW w:type="dxa" w:w="2493"/>
            <w:vAlign w:val="top"/>
          </w:tcPr>
          <w:p>
            <w:r>
              <w:t>Mischspur auf Paketband</w:t>
            </w:r>
          </w:p>
        </w:tc>
        <w:tc>
          <w:tcPr>
            <w:tcW w:type="dxa" w:w="2493"/>
            <w:vAlign w:val="top"/>
          </w:tcPr>
          <w:p>
            <w:r>
              <w:t>keine Einzelspur</w:t>
            </w:r>
          </w:p>
        </w:tc>
      </w:tr>
      <w:tr>
        <w:tc>
          <w:tcPr>
            <w:tcW w:type="dxa" w:w="2493"/>
            <w:vAlign w:val="top"/>
          </w:tcPr>
          <w:p>
            <w:r>
              <w:t>Mietvertrag</w:t>
            </w:r>
          </w:p>
        </w:tc>
        <w:tc>
          <w:tcPr>
            <w:tcW w:type="dxa" w:w="2493"/>
            <w:vAlign w:val="top"/>
          </w:tcPr>
          <w:p>
            <w:r>
              <w:t>Rotterdam Mobility BV</w:t>
            </w:r>
          </w:p>
        </w:tc>
        <w:tc>
          <w:tcPr>
            <w:tcW w:type="dxa" w:w="2493"/>
            <w:vAlign w:val="top"/>
          </w:tcPr>
          <w:p>
            <w:r>
              <w:t>Fahrzeugübernahme durch Montes</w:t>
            </w:r>
          </w:p>
        </w:tc>
        <w:tc>
          <w:tcPr>
            <w:tcW w:type="dxa" w:w="2493"/>
            <w:vAlign w:val="top"/>
          </w:tcPr>
          <w:p>
            <w:r>
              <w:t>Zusatzfahrer unlesbar</w:t>
            </w:r>
          </w:p>
        </w:tc>
      </w:tr>
    </w:tbl>
    <w:p/>
    <w:p>
      <w:pPr>
        <w:pStyle w:val="Heading2"/>
      </w:pPr>
      <w:r>
        <w:t>Normanker</w:t>
      </w:r>
    </w:p>
    <w:p>
      <w:pPr>
        <w:pStyle w:val="ListBullet"/>
      </w:pPr>
      <w:r>
        <w:t>Paragraf 29a BtMG</w:t>
      </w:r>
    </w:p>
    <w:p>
      <w:pPr>
        <w:pStyle w:val="ListBullet"/>
      </w:pPr>
      <w:r>
        <w:t>Paragraf 30 BtMG</w:t>
      </w:r>
    </w:p>
    <w:p>
      <w:pPr>
        <w:pStyle w:val="ListBullet"/>
      </w:pPr>
      <w:r>
        <w:t>Paragraf 102 StPO</w:t>
      </w:r>
    </w:p>
    <w:p>
      <w:pPr>
        <w:pStyle w:val="ListBullet"/>
      </w:pPr>
      <w:r>
        <w:t>Paragraf 112 StPO</w:t>
      </w:r>
    </w:p>
    <w:p>
      <w:pPr>
        <w:pStyle w:val="ListBullet"/>
      </w:pPr>
      <w:r>
        <w:t>Paragraf 136 StPO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Landgericht Köln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Landgericht Köln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große Strafkammer 19 | Staatsanwaltschaft Köln, 19 Js 774/26 · 19 Js 774/26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