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Landgericht Köln, große Strafkammer 19 | Staatsanwaltschaft Köln, 19 Js 774/26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pStyle w:val="ListBullet"/>
      </w:pPr>
      <w:r>
        <w:t>Normanker: Paragraf 29a BtMG, Paragraf 30 BtMG, Paragraf 102 StPO, Paragraf 112 StPO, Paragraf 136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Haftprüfung vorbereiten, Dolmetscher- und Belehrungsvermerk anfordern, Rohdaten der Handyforensik sichern und Zusatzfahrer über Vermieter identifizieren.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Köln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Köln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große Strafkammer 19 | Staatsanwaltschaft Köln, 19 Js 774/26 · 19 Js 774/26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