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Landeskriminalamt Nordrhein-Westfalen</w:t>
      </w:r>
    </w:p>
    <w:p>
      <w:pPr>
        <w:jc w:val="left"/>
      </w:pPr>
      <w:r>
        <w:t>Kriminaltechnisches Institut — Teildezernat Betäubungsmittelanalytik</w:t>
      </w:r>
    </w:p>
    <w:p>
      <w:pPr>
        <w:jc w:val="left"/>
      </w:pPr>
      <w:r>
        <w:t>Völklinger Straße 49, 40221 Düsseldorf</w:t>
      </w:r>
    </w:p>
    <w:p>
      <w:pPr>
        <w:jc w:val="left"/>
      </w:pPr>
      <w:r>
        <w:t>Gutachten-Nr. KTI-BtM 2026/0891</w:t>
      </w:r>
    </w:p>
    <w:p>
      <w:pPr>
        <w:jc w:val="left"/>
      </w:pPr>
      <w:r>
        <w:t>Bezug: Staatsanwaltschaft Köln, 19 Js 774/26; Asservate 1.1 und 1.2 der Sicherstellung vom 09.06.2026</w:t>
      </w:r>
    </w:p>
    <w:p>
      <w:pPr>
        <w:jc w:val="left"/>
      </w:pPr>
      <w:r>
        <w:t>Düsseldorf, den 29.06.2026</w:t>
      </w:r>
    </w:p>
    <w:p>
      <w:pPr>
        <w:jc w:val="left"/>
      </w:pPr>
      <w:r>
        <w:t>Behördengutachten (Auszug) — Wirkstoffbestimmung Kokain</w:t>
      </w:r>
    </w:p>
    <w:p>
      <w:pPr>
        <w:jc w:val="left"/>
      </w:pPr>
      <w:r>
        <w:t>1 Untersuchungsauftrag und Untersuchungsmaterial</w:t>
      </w:r>
    </w:p>
    <w:p>
      <w:pPr>
        <w:jc w:val="left"/>
      </w:pPr>
      <w:r>
        <w:t>1.1 Mit Verfügung der Staatsanwaltschaft Köln vom 18.06.2026 wurde das Kriminaltechnische Institut beauftragt, die am 09.06.2026 auf der Rastanlage Königsforst-West (A3) in der Reserveradmulde eines VW T-Roc sichergestellten Substanzen zu identifizieren und den Wirkstoffgehalt zu bestimmen.</w:t>
      </w:r>
    </w:p>
    <w:p>
      <w:pPr>
        <w:jc w:val="left"/>
      </w:pPr>
      <w:r>
        <w:t>1.2 Zur Untersuchung gelangten zwei vakuumierte Folienpakete mit weißem, kompaktem Pulver. Asservat 1.1: Bruttogewicht 1094.6 g, Nettogewicht der Substanz 1000.0 g. Asservat 1.2: Bruttogewicht 1083.9 g, Nettogewicht der Substanz 990.0 g. Das Gesamtnettogewicht beträgt 1990.0 g. Die Verpackungen wurden vor der Öffnung fotografisch dokumentiert und für die daktyloskopische sowie die molekulargenetische Untersuchung gesichert an das zuständige Teildezernat abgegeben.</w:t>
      </w:r>
    </w:p>
    <w:p>
      <w:pPr>
        <w:jc w:val="left"/>
      </w:pPr>
      <w:r>
        <w:t>2 Untersuchungsgang</w:t>
      </w:r>
    </w:p>
    <w:p>
      <w:pPr>
        <w:jc w:val="left"/>
      </w:pPr>
      <w:r>
        <w:t>2.1 Von beiden Asservaten wurden nach Homogenisierung repräsentative Mischproben entnommen. Die Identifizierung erfolgte mittels Gaschromatographie mit Massenspektrometrie-Kopplung, die quantitative Bestimmung mittels Hochleistungsflüssigkeitschromatographie mit Diodenarray-Detektion gegen zertifizierte Referenzstandards. Alle Messungen wurden als Doppelbestimmung ausgeführt; die Verfahren sind nach dem Qualitätsmanagementsystem des Instituts akkreditiert.</w:t>
      </w:r>
    </w:p>
    <w:p>
      <w:pPr>
        <w:jc w:val="left"/>
      </w:pPr>
      <w:r>
        <w:t>3 Untersuchungsergebnis</w:t>
      </w:r>
    </w:p>
    <w:p>
      <w:pPr>
        <w:jc w:val="left"/>
      </w:pPr>
      <w:r>
        <w:t>3.1 In beiden Asservaten wurde Kokain in Form des Hydrochlorids nachgewiesen. Als Streckmittel wurden Levamisol und Koffein identifiziert.</w:t>
      </w:r>
    </w:p>
    <w:p>
      <w:pPr>
        <w:jc w:val="left"/>
      </w:pPr>
      <w:r>
        <w:t>3.2 Der Wirkstoffgehalt beträgt bei Asservat 1.1 80.0 Prozent Kokainhydrochlorid, entsprechend 800.0 g Kokainhydrochlorid absolut. Bei Asservat 1.2 beträgt der Wirkstoffgehalt 78.5 Prozent Kokainhydrochlorid, entsprechend 777.15 g Kokainhydrochlorid absolut.</w:t>
      </w:r>
    </w:p>
    <w:p>
      <w:pPr>
        <w:jc w:val="left"/>
      </w:pPr>
      <w:r>
        <w:t>3.3 Die Gesamtwirkstoffmenge beider Asservate beträgt 1577.15 g Kokainhydrochlorid.</w:t>
      </w:r>
    </w:p>
    <w:p>
      <w:pPr>
        <w:jc w:val="left"/>
      </w:pPr>
      <w:r>
        <w:t>4 Bewertung</w:t>
      </w:r>
    </w:p>
    <w:p>
      <w:pPr>
        <w:jc w:val="left"/>
      </w:pPr>
      <w:r>
        <w:t>4.1 Der Grenzwert der nicht geringen Menge liegt für Kokainhydrochlorid nach gefestigter höchstrichterlicher Rechtsprechung bei 5 g. Die festgestellte Gesamtwirkstoffmenge von 1577.15 g überschreitet diesen Grenzwert um das 315.43-fache.</w:t>
      </w:r>
    </w:p>
    <w:p>
      <w:pPr>
        <w:jc w:val="left"/>
      </w:pPr>
      <w:r>
        <w:t>4.2 Reinheitsgrade der festgestellten Größenordnung sind nach den Erfahrungswerten des Instituts typisch für Handelsware auf Großhandelsstufe vor der Weiterverarbeitung; auf Straßenverkaufsebene werden regelmäßig deutlich niedrigere Gehalte angetroffen.</w:t>
      </w:r>
    </w:p>
    <w:p>
      <w:pPr>
        <w:jc w:val="left"/>
      </w:pPr>
      <w:r>
        <w:t>5 Verbleib der Asservate</w:t>
      </w:r>
    </w:p>
    <w:p>
      <w:pPr>
        <w:jc w:val="left"/>
      </w:pPr>
      <w:r>
        <w:t>Die Restmengen werden bis zum rechtskräftigen Abschluss des Verfahrens im Asservatenlager des Instituts verwahrt. Rückstellproben für eine etwaige Nachbegutachtung sind gebildet.</w:t>
      </w:r>
    </w:p>
    <w:p>
      <w:pPr>
        <w:jc w:val="left"/>
      </w:pPr>
      <w:r>
        <w:t>Dr. rer. nat. Susanne Klawitter</w:t>
      </w:r>
    </w:p>
    <w:p>
      <w:pPr>
        <w:jc w:val="left"/>
      </w:pPr>
      <w:r>
        <w:t>Sachverständige für Betäubungsmittelanalytik</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Köln</w:t>
    </w:r>
  </w:p>
  <w:p>
    <w:pPr>
      <w:jc w:val="left"/>
      <w:pBdr>
        <w:bottom w:val="single" w:sz="6" w:space="2" w:color="3B3F45"/>
      </w:pBdr>
    </w:pPr>
    <w:r>
      <w:rPr>
        <w:rFonts w:ascii="Times New Roman" w:hAnsi="Times New Roman"/>
        <w:color w:val="6B6B66"/>
        <w:sz w:val="16"/>
      </w:rPr>
      <w:t>19 Js 774/26; Asservate 1.1 und 1.2 der Sicherstellung vom 09.06.2026 · BtM 2026/0891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