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Rechtliche Arbeitsnotiz</w:t>
      </w:r>
    </w:p>
    <w:p>
      <w:r>
        <w:rPr>
          <w:i/>
          <w:sz w:val="20"/>
        </w:rPr>
        <w:t>Amtsgericht Leipzig, Schöffengericht Abteilung 212 | Staatsanwaltschaft Leipzig, 212 Js 6180/26</w:t>
      </w:r>
    </w:p>
    <w:p>
      <w:pPr>
        <w:pStyle w:val="Heading2"/>
      </w:pPr>
      <w:r>
        <w:t>Rechtlicher Einstieg</w:t>
      </w:r>
    </w:p>
    <w:p>
      <w:pPr>
        <w:spacing w:after="120" w:line="259" w:lineRule="auto"/>
      </w:pPr>
      <w:r>
        <w:t>Die Prüfung beginnt mit der Verfahrensrolle und dem konkreten Arbeitsprodukt: Haft, Einstellung, Schutzantrag, Anklageprüfung, Hauptverhandlung oder Rechtsmittel.</w:t>
      </w:r>
    </w:p>
    <w:p>
      <w:pPr>
        <w:spacing w:after="120" w:line="259" w:lineRule="auto"/>
      </w:pPr>
      <w:r>
        <w:t>Danach werden Tatbestandsmerkmale, subjektiver Tatbestand und Beweisbarkeit getrennt. Eine plausible Verteidigungslinie ersetzt keinen Beweiswertvergleich; eine plausible Anklagehypothese ersetzt keine Lückenanalyse.</w:t>
      </w:r>
    </w:p>
    <w:p>
      <w:pPr>
        <w:pStyle w:val="ListBullet"/>
      </w:pPr>
      <w:r>
        <w:t>Normanker: Paragraf 263a StGB, Paragraf 261 StGB, Paragraf 73 StGB, Paragraf 100g StPO, Paragraf 110 StPO.</w:t>
      </w:r>
    </w:p>
    <w:p>
      <w:pPr>
        <w:pStyle w:val="Heading2"/>
      </w:pPr>
      <w:r>
        <w:t>Arbeitsmatrix</w:t>
      </w:r>
    </w:p>
    <w:p>
      <w:pPr>
        <w:pStyle w:val="ListBullet"/>
      </w:pPr>
      <w:r>
        <w:t>Tatbestandsmerkmal: Welche konkrete Tatsache trägt es?</w:t>
      </w:r>
    </w:p>
    <w:p>
      <w:pPr>
        <w:pStyle w:val="ListBullet"/>
      </w:pPr>
      <w:r>
        <w:t>Beweismittel: Ist es original, vollständig, verwertbar und in sich konstant?</w:t>
      </w:r>
    </w:p>
    <w:p>
      <w:pPr>
        <w:pStyle w:val="ListBullet"/>
      </w:pPr>
      <w:r>
        <w:t>Gegenposition: Welches alternative Geschehen ist aktenkundig und nicht nur spekulativ?</w:t>
      </w:r>
    </w:p>
    <w:p>
      <w:pPr>
        <w:pStyle w:val="ListBullet"/>
      </w:pPr>
      <w:r>
        <w:t>Risiko: Welche Nebenfolge droht unabhängig vom Ausgang der Hauptsache?</w:t>
      </w:r>
    </w:p>
    <w:p>
      <w:pPr>
        <w:pStyle w:val="ListBullet"/>
      </w:pPr>
      <w:r>
        <w:t>Output: konkreter Antrag oder konkreter Entwurf, keine bloße Rechtsmeinung.</w:t>
      </w:r>
    </w:p>
    <w:p>
      <w:pPr>
        <w:pStyle w:val="Heading2"/>
      </w:pPr>
      <w:r>
        <w:t>Nächster Schritt</w:t>
      </w:r>
    </w:p>
    <w:p>
      <w:pPr>
        <w:spacing w:after="120" w:line="259" w:lineRule="auto"/>
      </w:pPr>
      <w:r>
        <w:t>Rohdaten der Banklogs mit Zeitzonen sichern, ATM-Bildqualität prüfen, Einziehungsrisiko berechnen und Stellungnahme zur Kontoleihe vorbereiten.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Amtsgericht Leipzig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Amtsgericht Leipzig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Schöffengericht Abteilung 212 | Staatsanwaltschaft Leipzig, 212 Js 6180/26 · 212 Js 6180/26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