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Antrag der Staatsanwaltschaft</w:t>
      </w:r>
    </w:p>
    <w:p>
      <w:pPr>
        <w:jc w:val="left"/>
      </w:pPr>
      <w:r>
        <w:rPr>
          <w:b/>
        </w:rPr>
        <w:t>Staatsanwaltschaft Bochum</w:t>
      </w:r>
    </w:p>
    <w:p>
      <w:pPr>
        <w:jc w:val="left"/>
      </w:pPr>
      <w:r>
        <w:t>Westring 8 · 44787 Bochum · Telefon 0234 967-0</w:t>
      </w:r>
    </w:p>
    <w:p>
      <w:pPr>
        <w:jc w:val="left"/>
      </w:pPr>
      <w:r>
        <w:t>Aktenzeichen: 36 Js 1247/26</w:t>
      </w:r>
    </w:p>
    <w:p>
      <w:pPr>
        <w:jc w:val="left"/>
      </w:pPr>
      <w:r>
        <w:t>Bochum, den 15. Mai 2026</w:t>
      </w:r>
    </w:p>
    <w:p>
      <w:pPr>
        <w:jc w:val="left"/>
      </w:pPr>
      <w:r>
        <w:t>An das</w:t>
      </w:r>
    </w:p>
    <w:p>
      <w:pPr>
        <w:jc w:val="left"/>
      </w:pPr>
      <w:r>
        <w:t>Amtsgericht Bochum</w:t>
      </w:r>
    </w:p>
    <w:p>
      <w:pPr>
        <w:jc w:val="left"/>
      </w:pPr>
      <w:r>
        <w:t>— Ermittlungsrichter —</w:t>
      </w:r>
    </w:p>
    <w:p>
      <w:pPr>
        <w:jc w:val="left"/>
      </w:pPr>
      <w:r>
        <w:t>Josef-Neuberger-Straße 1</w:t>
      </w:r>
    </w:p>
    <w:p>
      <w:pPr>
        <w:jc w:val="left"/>
      </w:pPr>
      <w:r>
        <w:t>44787 Bochum</w:t>
      </w:r>
    </w:p>
    <w:p>
      <w:pPr>
        <w:jc w:val="left"/>
      </w:pPr>
      <w:r>
        <w:rPr>
          <w:b/>
        </w:rPr>
        <w:t>Betreff: Ermittlungsverfahren gegen Dennis Kowalczik — Antrag auf richterliche Bestätigung der Beschlagnahme (§ 98 Abs. 2 StPO) sowie auf nachträgliche Bestätigung der Durchsuchung vom 12.05.2026</w:t>
      </w:r>
    </w:p>
    <w:p>
      <w:pPr>
        <w:jc w:val="left"/>
      </w:pPr>
      <w:r>
        <w:t>1 Anträge</w:t>
      </w:r>
    </w:p>
    <w:p>
      <w:pPr>
        <w:jc w:val="left"/>
      </w:pPr>
      <w:r>
        <w:t>1.1 Es wird beantragt, die Beschlagnahme der am 12.05.2026 in der Wohnung des Beschuldigten sichergestellten Gegenstände (Asservate A01 bis A17 laut Asservatenliste vom 13.05.2026, Bl. 12 d. A.) richterlich zu bestätigen (§ 98 Abs. 2 Satz 1 StPO), nachdem der Beschuldigte der Sicherstellung widersprochen hat.</w:t>
      </w:r>
    </w:p>
    <w:p>
      <w:pPr>
        <w:jc w:val="left"/>
      </w:pPr>
      <w:r>
        <w:t xml:space="preserve">1.2 Zugleich wird — mit Rücksicht auf den vom Beschuldigten bereits bei der Durchsuchung erhobenen Einwand fehlender richterlicher Anordnung — beantragt, die am 12.05.2026 um 17:05 Uhr auf staatsanwaltschaftliche Eilanordnung gestützte Durchsuchung </w:t>
      </w:r>
      <w:r>
        <w:rPr>
          <w:b/>
        </w:rPr>
        <w:t>nachträglich richterlich zu bestätigen</w:t>
      </w:r>
      <w:r>
        <w:t>, hilfsweise deren Rechtmäßigkeit festzustellen.</w:t>
      </w:r>
    </w:p>
    <w:p>
      <w:pPr>
        <w:jc w:val="left"/>
      </w:pPr>
      <w:r>
        <w:t>2 Begründung</w:t>
      </w:r>
    </w:p>
    <w:p>
      <w:pPr>
        <w:jc w:val="left"/>
      </w:pPr>
      <w:r>
        <w:t>2.1 Der Beschuldigte ist des unerlaubten Handeltreibens mit Cannabis in nicht geringer Menge und mit Betäubungsmitteln in nicht geringer Menge, jeweils unter Mitführung einer Schusswaffe, dringend verdächtig (§ 34 Abs. 1 Nr. 4, Abs. 4 Nr. 4 KCanG; § 29a Abs. 1 Nr. 2, § 30a Abs. 2 Nr. 2 BtMG; § 52 WaffG). Die Auffindesituation (1.176,3 g Marihuana netto, 322,5 g Amphetaminpaste netto, Feinwaage, 250 Klemmleistenbeutel, 6.815,00 EUR in szenetypischer Stückelung, geladene Schusswaffe griffbereit unter dem Bett) trägt die Beschlagnahme als Beweismittel und zur Sicherung der Einziehung.</w:t>
      </w:r>
    </w:p>
    <w:p>
      <w:pPr>
        <w:jc w:val="left"/>
      </w:pPr>
      <w:r>
        <w:t>2.2 Die Durchsuchung beruhte auf der fernmündlichen Eilanordnung der Unterzeichnerin vom 12.05.2026, 16:55 Uhr, wegen Gefahr im Verzug (§ 105 Abs. 1 Satz 1 StPO). Nach dem Durchsuchungsvermerk (Bl. 7–9 d. A.) war der richterliche Bereitschaftsdienst zuvor telefonisch nicht erreichbar, und es bestand die konkrete Gefahr, dass der Beschuldigte durch das Ausbleiben des um 14:26 Uhr angehaltenen Käufers gewarnt würde und Beweismittel vernichtet. Die Unterzeichnerin bestätigt ihre fernmündliche Anordnung hiermit schriftlich.</w:t>
      </w:r>
    </w:p>
    <w:p>
      <w:pPr>
        <w:jc w:val="left"/>
      </w:pPr>
      <w:r>
        <w:t>2.3 Der Unterzeichnerin ist bewusst, dass die Strafprozessordnung eine nachträgliche richterliche „Genehmigung" einer bereits abgeschlossenen Durchsuchung nicht ausdrücklich vorsieht. Der Antrag zu 1.2 wird gleichwohl gestellt, um dem Beschuldigten frühzeitig effektiven Rechtsschutz zu eröffnen und die Rechtmäßigkeitsfrage vor der Hauptverhandlung zu klären; jedenfalls über die Bestätigung der Beschlagnahme (Antrag zu 1.1) ist richterlich zu entscheiden.</w:t>
      </w:r>
    </w:p>
    <w:p>
      <w:pPr>
        <w:jc w:val="left"/>
      </w:pPr>
      <w:r>
        <w:t>Dr. Hillmann</w:t>
      </w:r>
    </w:p>
    <w:p>
      <w:pPr>
        <w:jc w:val="left"/>
      </w:pPr>
      <w:r>
        <w:t>Staatsanwältin</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Antrag der Staatsanwaltschaft</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Antrag der Staatsanwaltschaft</w:t>
    </w:r>
  </w:p>
  <w:p>
    <w:pPr>
      <w:jc w:val="left"/>
      <w:pBdr>
        <w:bottom w:val="single" w:sz="6" w:space="2" w:color="3B3F45"/>
      </w:pBdr>
    </w:pPr>
    <w:r>
      <w:rPr>
        <w:rFonts w:ascii="Times New Roman" w:hAnsi="Times New Roman"/>
        <w:color w:val="6B6B66"/>
        <w:sz w:val="16"/>
      </w:rPr>
      <w:t>Gericht · Aktenzeichen: 36 Js 1247/26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