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Verteidigerschriftsatz — Einwendungen gegen die Eröffnung und Verwertungswiderspruch</w:t>
      </w:r>
    </w:p>
    <w:p>
      <w:pPr>
        <w:jc w:val="left"/>
      </w:pPr>
      <w:r>
        <w:rPr>
          <w:b/>
        </w:rPr>
        <w:t>Rechtsanwältin Ceyda Aksoy</w:t>
      </w:r>
      <w:r>
        <w:t xml:space="preserve"> · Fachanwältin für Strafrecht</w:t>
      </w:r>
    </w:p>
    <w:p>
      <w:pPr>
        <w:jc w:val="left"/>
      </w:pPr>
      <w:r>
        <w:t>Viktoriastraße 43 · 44787 Bochum · Telefon 0234 91 33 70-0 · Telefax 0234 91 33 70-9 · kanzlei@aksoy-strafrecht.de</w:t>
      </w:r>
    </w:p>
    <w:p>
      <w:pPr>
        <w:jc w:val="left"/>
      </w:pPr>
      <w:r>
        <w:t>Unser Zeichen: 172/26 AK · Bochum, den 24. Juni 2026</w:t>
      </w:r>
    </w:p>
    <w:p>
      <w:pPr>
        <w:jc w:val="left"/>
      </w:pPr>
      <w:r>
        <w:rPr>
          <w:b/>
        </w:rPr>
        <w:t>Per beA</w:t>
      </w:r>
    </w:p>
    <w:p>
      <w:pPr>
        <w:jc w:val="left"/>
      </w:pPr>
      <w:r>
        <w:t>An das</w:t>
      </w:r>
    </w:p>
    <w:p>
      <w:pPr>
        <w:jc w:val="left"/>
      </w:pPr>
      <w:r>
        <w:t>Landgericht Bochum</w:t>
      </w:r>
    </w:p>
    <w:p>
      <w:pPr>
        <w:jc w:val="left"/>
      </w:pPr>
      <w:r>
        <w:t>— 2. große Strafkammer —</w:t>
      </w:r>
    </w:p>
    <w:p>
      <w:pPr>
        <w:jc w:val="left"/>
      </w:pPr>
      <w:r>
        <w:t>Josef-Neuberger-Straße 1</w:t>
      </w:r>
    </w:p>
    <w:p>
      <w:pPr>
        <w:jc w:val="left"/>
      </w:pPr>
      <w:r>
        <w:t>44787 Bochum</w:t>
      </w:r>
    </w:p>
    <w:p>
      <w:pPr>
        <w:jc w:val="left"/>
      </w:pPr>
      <w:r>
        <w:rPr>
          <w:b/>
        </w:rPr>
        <w:t>Betreff: Strafsache gegen Dennis Kowalczik, 2 KLs 36 Js 1247/26 — Stellungnahme im Zwischenverfahren (§ 201 StPO), Einwendungen gegen die Eröffnung, Widerspruch gegen die Verwertung der Durchsuchungsfunde</w:t>
      </w:r>
    </w:p>
    <w:p>
      <w:pPr>
        <w:jc w:val="left"/>
      </w:pPr>
      <w:r>
        <w:t xml:space="preserve">Namens des Angeschuldigten nehme ich zur Anklageschrift vom 15.06.2026 Stellung und erhebe Einwendungen gegen die Eröffnung des Hauptverfahrens. Zugleich </w:t>
      </w:r>
      <w:r>
        <w:rPr>
          <w:b/>
        </w:rPr>
        <w:t>widerspreche ich bereits jetzt ausdrücklich der Verwertung sämtlicher bei der Wohnungsdurchsuchung vom 12.05.2026 erlangten Beweismittel</w:t>
      </w:r>
      <w:r>
        <w:t xml:space="preserve"> und kündige an, diesen Widerspruch in der Hauptverhandlung jeweils rechtzeitig, spätestens im Anschluss an die jeweilige Beweiserhebung im Sinne des § 257 StPO, zu wiederholen.</w:t>
      </w:r>
    </w:p>
    <w:p>
      <w:pPr>
        <w:jc w:val="left"/>
      </w:pPr>
      <w:r>
        <w:t>1 Die Durchsuchung war rechtswidrig</w:t>
      </w:r>
    </w:p>
    <w:p>
      <w:pPr>
        <w:jc w:val="left"/>
      </w:pPr>
      <w:r>
        <w:t>1.1 Verletzung des Richtervorbehalts. Durchsuchungen dürfen nach § 105 Abs. 1 Satz 1 StPO nur durch den Richter, bei Gefahr im Verzug auch durch die Staatsanwaltschaft und ihre Ermittlungspersonen angeordnet werden. Gefahr im Verzug liegt nur vor, wenn die vorherige Einholung der richterlichen Anordnung den Erfolg der Maßnahme gefährden würde; sie ist mit auf den Einzelfall bezogenen Tatsachen zu begründen und zu dokumentieren, und die Ermittlungsbehörden müssen sich zunächst ernsthaft um eine richterliche Entscheidung bemühen.</w:t>
      </w:r>
    </w:p>
    <w:p>
      <w:pPr>
        <w:jc w:val="left"/>
      </w:pPr>
      <w:r>
        <w:t xml:space="preserve">1.2 Die Zeitkette widerlegt die Eilbegründung. Aus dem Einsatzprotokoll (Funkverkehr, Bl. 5 d. A.) ergibt sich: Verdachtsgewinnung durch die beobachtete Übergabe um 14:20 Uhr, Rücksprache mit dem Kommissariat um 14:32 Uhr, Übernahme der Einsatzleitung um 14:55 Uhr, Abschluss der Käufervernehmung um 16:05 Uhr, Zugriff um 17:05 Uhr. Zwischen Verdachtsgewinnung und Durchsuchung lagen </w:t>
      </w:r>
      <w:r>
        <w:rPr>
          <w:b/>
        </w:rPr>
        <w:t>zwei Stunden und 45 Minuten</w:t>
      </w:r>
      <w:r>
        <w:t>. Der richterliche Bereitschaftsdienst des Amtsgerichts Bochum war an diesem Tag ausweislich der Auskunft der Gerichtsverwaltung vom 08.06.2026 (Bl. 40 d. A.) von 06:00 bis 21:00 Uhr durchgehend besetzt und erreichbar. In der gesamten Zeitspanne wäre eine — gegebenenfalls fernmündliche — richterliche Entscheidung ohne Weiteres zu erlangen gewesen.</w:t>
      </w:r>
    </w:p>
    <w:p>
      <w:pPr>
        <w:jc w:val="left"/>
      </w:pPr>
      <w:r>
        <w:t xml:space="preserve">1.3 Der behauptete Anrufversuch ist widerlegt, jedenfalls undokumentiert. Der Durchsuchungsvermerk behauptet, der Bereitschaftsrichter sei „telefonisch nicht erreichbar" gewesen (Anrufversuch „gegen 16:50 Uhr"). Demgegenüber weist die Telefonvermerk-Liste der Wache (Bl. 13 d. A.) für den gesamten Nachmittag </w:t>
      </w:r>
      <w:r>
        <w:rPr>
          <w:b/>
        </w:rPr>
        <w:t>keinen einzigen ausgehenden Anruf an die Festnetz- oder Mobilnummer des Bereitschaftsrichters</w:t>
      </w:r>
      <w:r>
        <w:t xml:space="preserve"> aus; das Einzelverbindungsprotokoll des richterlichen Diensthandys verzeichnet zwischen 11:42 Uhr und 19:20 Uhr keine eingehenden Anrufe oder Anrufversuche (Bl. 40 d. A.). Der Einsatzleiter selbst hat eingeräumt, nicht selbst gewählt, den angeblichen Versuch nicht dokumentiert und auf seinem Diensthandy keinen entsprechenden Anruf zu haben (Bl. 41–45 d. A.). Damit ist die tatsächliche Grundlage der Eilanordnung — die Unerreichbarkeit des Richters — nach Aktenlage unzutreffend; mindestens fehlt jede einzelfallbezogene Dokumentation. Hinzu kommt, dass die Staatsanwältin ihre Anordnung um 16:55 Uhr auf eben diese ungeprüfte Mitteilung stützte.</w:t>
      </w:r>
    </w:p>
    <w:p>
      <w:pPr>
        <w:jc w:val="left"/>
      </w:pPr>
      <w:r>
        <w:t xml:space="preserve">1.4 Bewertung. Wer eine seit 14:20 Uhr bestehende, unveränderte Verdachtslage fast drei Stunden lang bearbeitet, ohne den erreichbaren Bereitschaftsrichter auch nur anzurufen, und die Durchsuchung sodann mit dessen angeblicher Unerreichbarkeit begründet, verkennt den Richtervorbehalt nicht nur im Einzelfall, sondern setzt sich über ihn hinweg. Es liegt eine bewusste Umgehung, jedenfalls eine grobe, willkürgleiche Verkennung des Richtervorbehalts vor. Eine etwaige „drohende Warnung" des Angeschuldigten war keine neue Entwicklung, sondern von Beginn an absehbar und hätte gerade Anlass geben müssen, den Richter </w:t>
      </w:r>
      <w:r>
        <w:rPr>
          <w:b/>
        </w:rPr>
        <w:t>früh</w:t>
      </w:r>
      <w:r>
        <w:t xml:space="preserve"> zu befassen.</w:t>
      </w:r>
    </w:p>
    <w:p>
      <w:pPr>
        <w:jc w:val="left"/>
      </w:pPr>
      <w:r>
        <w:t>2 Rechtsfolge: Beweisverwertungsverbot</w:t>
      </w:r>
    </w:p>
    <w:p>
      <w:pPr>
        <w:jc w:val="left"/>
      </w:pPr>
      <w:r>
        <w:t>2.1 Zwar führt nicht jeder Verstoß gegen Beweiserhebungsvorschriften zu einem Verwertungsverbot; geboten ist eine Abwägung zwischen dem staatlichen Aufklärungsinteresse und dem Gewicht des Verfahrensverstoßes. Bei bewusster Umgehung oder willkürgleicher Verkennung des Richtervorbehalts aus Art. 13 Abs. 2 GG, § 105 Abs. 1 StPO überwiegt jedoch das Interesse an der Wahrung der verfassungsrechtlichen Sicherung: Der präventive Richtervorbehalt liefe leer, wenn seine Missachtung folgenlos bliebe. Sämtliche unmittelbar aus der Durchsuchung erlangten Beweismittel (Asservate A01 bis A17) unterliegen daher einem Verwertungsverbot.</w:t>
      </w:r>
    </w:p>
    <w:p>
      <w:pPr>
        <w:jc w:val="left"/>
      </w:pPr>
      <w:r>
        <w:t>2.2 Fernwirkung. Das Verwertungsverbot erstreckt sich nach Auffassung der Verteidigung auch auf die Auswertung des allein durch die Durchsuchung erlangten Mobiltelefons (Chatexport, Sonderband EDV): Ohne die rechtswidrige Durchsuchung wäre dieses Beweismittel nicht in amtliche Verwahrung gelangt; die Auswertung ist ein bloßer Folgeakt ohne eigenständige Ermächtigungsgrundlage gegenüber dem Ursprungsverstoß. Der Kammer ist bewusst, dass eine generelle Fernwirkung dem deutschen Strafverfahrensrecht fremd ist; bei einer bewussten Umgehung des Richtervorbehalts muss sie jedoch greifen, weil andernfalls der Anreiz zur Umgehung bestehen bliebe.</w:t>
      </w:r>
    </w:p>
    <w:p>
      <w:pPr>
        <w:jc w:val="left"/>
      </w:pPr>
      <w:r>
        <w:t>3 Konsequenzen für das Zwischenverfahren</w:t>
      </w:r>
    </w:p>
    <w:p>
      <w:pPr>
        <w:jc w:val="left"/>
      </w:pPr>
      <w:r>
        <w:t>3.1 Ohne die Durchsuchungsfunde tragen die verbleibenden Beweismittel (Observation der einen Übergabe von 4,8 g, Angaben des Käufers, Wahrnehmungen des Zeugen Sanftleben) allenfalls den Verdacht eines Vergehens nach § 34 Abs. 1 KCanG in einem minder gewichtigen Umfang, nicht aber die angeklagten Verbrechenstatbestände. Es wird daher angeregt, die Eröffnung des Hauptverfahrens vor der großen Strafkammer abzulehnen, hilfsweise das Hauptverfahren nur im Umfang des von den unabhängigen Beweismitteln getragenen Vorwurfs vor dem zuständigen Gericht niederer Ordnung zu eröffnen (§ 209 Abs. 1 StPO).</w:t>
      </w:r>
    </w:p>
    <w:p>
      <w:pPr>
        <w:jc w:val="left"/>
      </w:pPr>
      <w:r>
        <w:t>3.2 Zugleich wird beantragt, den Haftbefehl aufzuheben, hilfsweise ihn außer Vollzug zu setzen: Trägt der dringende Tatverdacht nur noch ein Vergehen, entfällt die Grundlage der bisherigen Haftentscheidung; die Verhältnismäßigkeit der Haftfortdauer wäre nicht mehr gewahrt.</w:t>
      </w:r>
    </w:p>
    <w:p>
      <w:pPr>
        <w:jc w:val="left"/>
      </w:pPr>
      <w:r>
        <w:t>4 Beweisanregung</w:t>
      </w:r>
    </w:p>
    <w:p>
      <w:pPr>
        <w:jc w:val="left"/>
      </w:pPr>
      <w:r>
        <w:t>4.1 Zur weiteren Aufklärung wird angeregt, den Wachhabenden des KK 12 vom 12.05.2026 (Nachmittagsschicht) zu ermitteln und zu vernehmen, ob und gegebenenfalls über welchen Apparat ein Anruf an den Bereitschaftsrichter veranlasst wurde.</w:t>
      </w:r>
    </w:p>
    <w:p>
      <w:pPr>
        <w:jc w:val="left"/>
      </w:pPr>
      <w:r>
        <w:t>Ceyda Aksoy</w:t>
      </w:r>
    </w:p>
    <w:p>
      <w:pPr>
        <w:jc w:val="left"/>
      </w:pPr>
      <w:r>
        <w:t>Rechtsanwältin, Fachanwältin für Strafrecht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Rechtsanwältin Ceyda Aksoy</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2"/>
      </w:rPr>
      <w:t>RECHTSANWÄLTIN CEYDA AKSOY</w:t>
    </w:r>
  </w:p>
  <w:p>
    <w:pPr>
      <w:jc w:val="left"/>
      <w:pBdr>
        <w:bottom w:val="single" w:sz="8" w:space="2" w:color="8A6A1F"/>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