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Gerichtlicher Hinweis und Auflagenbeschluss im Zwischenverfahren</w:t>
      </w:r>
    </w:p>
    <w:p>
      <w:pPr>
        <w:jc w:val="left"/>
      </w:pPr>
      <w:r>
        <w:rPr>
          <w:b/>
        </w:rPr>
        <w:t>Landgericht Bochum</w:t>
      </w:r>
      <w:r>
        <w:t xml:space="preserve"> — 2. große Strafkammer —</w:t>
      </w:r>
    </w:p>
    <w:p>
      <w:pPr>
        <w:jc w:val="left"/>
      </w:pPr>
      <w:r>
        <w:t>Josef-Neuberger-Straße 1 · 44787 Bochum</w:t>
      </w:r>
    </w:p>
    <w:p>
      <w:pPr>
        <w:jc w:val="left"/>
      </w:pPr>
      <w:r>
        <w:t>Geschäftsnummer: 2 KLs 36 Js 1247/26</w:t>
      </w:r>
    </w:p>
    <w:p>
      <w:pPr>
        <w:jc w:val="left"/>
      </w:pPr>
      <w:r>
        <w:t>Bochum, den 2. Juli 2026</w:t>
      </w:r>
    </w:p>
    <w:p>
      <w:pPr>
        <w:jc w:val="left"/>
      </w:pPr>
      <w:r>
        <w:t xml:space="preserve">In der Strafsache gegen </w:t>
      </w:r>
      <w:r>
        <w:rPr>
          <w:b/>
        </w:rPr>
        <w:t>Dennis Kowalczik</w:t>
      </w:r>
      <w:r>
        <w:t xml:space="preserve"> wegen Verstoßes gegen das KCanG u. a. ergeht nach Beratung der Kammer folgender Hinweis an die Verfahrensbeteiligten; zugleich wird der Staatsanwaltschaft die nachstehende Aufklärung aufgegeben (§ 202 StPO):</w:t>
      </w:r>
    </w:p>
    <w:p>
      <w:pPr>
        <w:jc w:val="left"/>
      </w:pPr>
      <w:r>
        <w:t>1 Vorläufige Bewertung der Kammer</w:t>
      </w:r>
    </w:p>
    <w:p>
      <w:pPr>
        <w:jc w:val="left"/>
      </w:pPr>
      <w:r>
        <w:t>1.1 Die Kammer teilt die Einschätzung, dass die Rechtmäßigkeit der Durchsuchung vom 12.05.2026 ernstlichen Zweifeln begegnet. Zwischen der Verdachtsgewinnung (14:20 Uhr) und dem Zugriff (17:05 Uhr) lagen nahezu drei Stunden, in denen nach der Auskunft der Gerichtsverwaltung vom 08.06.2026 eine richterliche Eilentscheidung erreichbar gewesen wäre. Der im Durchsuchungsvermerk behauptete Anrufversuch findet in der Telefonvermerk-Liste der Wache und im Verbindungsprotokoll des richterlichen Diensthandys keine Stütze. Ob hierin eine bewusste Umgehung des Richtervorbehalts oder ein Organisationsversagen liegt, ist für die Verwertungsfrage von zentraler Bedeutung und derzeit nicht abschließend zu beurteilen.</w:t>
      </w:r>
    </w:p>
    <w:p>
      <w:pPr>
        <w:jc w:val="left"/>
      </w:pPr>
      <w:r>
        <w:t xml:space="preserve">1.2 Die Kammer weist darauf hin, dass ein etwaiges Verwertungsverbot nach ihrer vorläufigen Auffassung die </w:t>
      </w:r>
      <w:r>
        <w:rPr>
          <w:b/>
        </w:rPr>
        <w:t>unabhängig von der Durchsuchung erlangten Beweismittel nicht erfassen würde</w:t>
      </w:r>
      <w:r>
        <w:t>: die Observation der Übergabe vom 12.05.2026, die beim Käufer sichergestellten 4,8 g Marihuana nebst dessen Angaben sowie die Bekundungen des Zeugen Sanftleben, die auf dessen Anzeige vom 05.05.2026 zurückgehen. Auf das Argument der Staatsanwaltschaft eines hypothetisch rechtmäßigen Ermittlungsverlaufs wird ebenso einzugehen sein wie auf den Einwand der Verteidigung, bei bewusster Umgehung dürfe dieser Gedanke nicht zum Tragen kommen; die Kammer gibt insoweit zu bedenken, dass die Anforderungen an die Dokumentation der Gefahr im Verzug gerade der nachträglichen Überprüfbarkeit dienen und Dokumentationsmängel zulasten der Anordnungsgrundlage gehen können.</w:t>
      </w:r>
    </w:p>
    <w:p>
      <w:pPr>
        <w:jc w:val="left"/>
      </w:pPr>
      <w:r>
        <w:t>1.3 Für den Fall eines auf die Durchsuchungsfunde beschränkten Verwertungsverbots wäre über die Eröffnung nach Maßgabe des dann verbleibenden Verdachtsbildes zu entscheiden (§§ 207, 209 StPO); die Kammer weist vorsorglich darauf hin, dass auch eine Eröffnung mit verändertem rechtlichem Gesichtspunkt in Betracht kommt.</w:t>
      </w:r>
    </w:p>
    <w:p>
      <w:pPr>
        <w:jc w:val="left"/>
      </w:pPr>
      <w:r>
        <w:t>2 Aufklärungsauflagen (§ 202 StPO)</w:t>
      </w:r>
    </w:p>
    <w:p>
      <w:pPr>
        <w:jc w:val="left"/>
      </w:pPr>
      <w:r>
        <w:t>2.1 Der Staatsanwaltschaft wird aufgegeben, binnen drei Wochen: erstens den am 12.05.2026 in der Nachmittagsschicht Wachhabenden des KK 12 zu ermitteln und zu den Umständen des behaupteten Anrufauftrags zeugenschaftlich vernehmen zu lassen; zweitens etwaige weitere Telefon- und Verbindungsdaten der Dienststelle (einschließlich dienstlicher Mobiltelefone der eingesetzten Beamten) für den 12.05.2026, 14:00 bis 17:30 Uhr, beizuziehen; drittens mitzuteilen, ob es beim Polizeipräsidium Bochum eine Dienstanweisung zur Herbeiführung richterlicher Eilentscheidungen gibt, und diese gegebenenfalls vorzulegen.</w:t>
      </w:r>
    </w:p>
    <w:p>
      <w:pPr>
        <w:jc w:val="left"/>
      </w:pPr>
      <w:r>
        <w:t>3 Haftfortdauer</w:t>
      </w:r>
    </w:p>
    <w:p>
      <w:pPr>
        <w:jc w:val="left"/>
      </w:pPr>
      <w:r>
        <w:t>3.1 Über die Fortdauer der Untersuchungshaft wird nach Eingang der Aufklärung im Rahmen der Eröffnungsentscheidung befunden (§ 207 Abs. 4 StPO). Bis dahin dauert die Untersuchungshaft fort; die bisherige Beweislage trägt den dringenden Tatverdacht jedenfalls im Umfang der unabhängig erlangten Beweismittel.</w:t>
      </w:r>
    </w:p>
    <w:p>
      <w:pPr>
        <w:jc w:val="left"/>
      </w:pPr>
      <w:r>
        <w:t>Dr. Papenbrock</w:t>
      </w:r>
    </w:p>
    <w:p>
      <w:pPr>
        <w:jc w:val="left"/>
      </w:pPr>
      <w:r>
        <w:t>Vorsitzender Richter am Landgericht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Gerichtlicher Hinweis und Auflagenbeschluss im Zwischenverfahren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Gerichtlicher Hinweis und Auflagenbeschluss im Zwischenverfahren</w:t>
    </w:r>
  </w:p>
  <w:p>
    <w:pPr>
      <w:jc w:val="left"/>
      <w:pBdr>
        <w:bottom w:val="single" w:sz="6" w:space="2" w:color="3B3F45"/>
      </w:pBdr>
    </w:pPr>
    <w:r>
      <w:rPr>
        <w:rFonts w:ascii="Times New Roman" w:hAnsi="Times New Roman"/>
        <w:color w:val="6B6B66"/>
        <w:sz w:val="16"/>
      </w:rPr>
      <w:t>Gericht · 36 Js 1247/26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