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Haftbefehl</w:t>
      </w:r>
    </w:p>
    <w:p>
      <w:pPr>
        <w:jc w:val="left"/>
      </w:pPr>
      <w:r>
        <w:rPr>
          <w:b/>
        </w:rPr>
        <w:t>Amtsgericht Essen</w:t>
      </w:r>
      <w:r>
        <w:t xml:space="preserve"> — Ermittlungsrichter —</w:t>
      </w:r>
    </w:p>
    <w:p>
      <w:pPr>
        <w:jc w:val="left"/>
      </w:pPr>
      <w:r>
        <w:t>Zweigertstraße 52 · 45130 Essen</w:t>
      </w:r>
    </w:p>
    <w:p>
      <w:pPr>
        <w:jc w:val="left"/>
      </w:pPr>
      <w:r>
        <w:t>Geschäftsnummer: 44 Gs 2312/26</w:t>
      </w:r>
    </w:p>
    <w:p>
      <w:pPr>
        <w:jc w:val="left"/>
      </w:pPr>
      <w:r>
        <w:t>Bezug: Staatsanwaltschaft Essen, 70 Js 883/26</w:t>
      </w:r>
    </w:p>
    <w:p>
      <w:pPr>
        <w:jc w:val="left"/>
      </w:pPr>
      <w:r>
        <w:t>Essen, den 4. Juni 2026</w:t>
      </w:r>
    </w:p>
    <w:p>
      <w:pPr>
        <w:jc w:val="left"/>
      </w:pPr>
      <w:r>
        <w:t>Gegen</w:t>
      </w:r>
    </w:p>
    <w:p>
      <w:pPr>
        <w:jc w:val="left"/>
      </w:pPr>
      <w:r>
        <w:rPr>
          <w:b/>
        </w:rPr>
        <w:t>Kevin Rautenberg</w:t>
      </w:r>
      <w:r>
        <w:t>, geboren am 23.11.1998 in Duisburg, deutscher Staatsangehöriger, ledig, ohne feste Beschäftigung, wohnhaft Hirtsiefer Straße 11, 45143 Essen,</w:t>
      </w:r>
    </w:p>
    <w:p>
      <w:pPr>
        <w:jc w:val="left"/>
      </w:pPr>
      <w:r>
        <w:t>wird die Untersuchungshaft angeordnet.</w:t>
      </w:r>
    </w:p>
    <w:p>
      <w:pPr>
        <w:jc w:val="left"/>
      </w:pPr>
      <w:r>
        <w:t>1 Tatvorwurf</w:t>
      </w:r>
    </w:p>
    <w:p>
      <w:pPr>
        <w:jc w:val="left"/>
      </w:pPr>
      <w:r>
        <w:t>1.1 Der Beschuldigte ist dringend verdächtig, in Essen durch drei selbständige Handlungen jeweils unter Verwendung eines Messers Bargeld und Waren weggenommen beziehungsweise sich aushändigen lassen zu haben, nämlich am 17.04.2026 zum Nachteil der Trinkhalle Wichmann (Beute 799,50 EUR), am 02.05.2026 zum Nachteil des Kiosk Bulut (Beute 1.049,60 EUR) und am 15.05.2026 zum Nachteil des City-Späti (Beute 1.240,00 EUR), Gesamtbeute 3.089,10 EUR — strafbar als besonders schwerer Raub in drei Fällen gemäß §§ 249 Abs. 1, 250 Abs. 2 Nr. 1, 53 StGB.</w:t>
      </w:r>
    </w:p>
    <w:p>
      <w:pPr>
        <w:jc w:val="left"/>
      </w:pPr>
      <w:r>
        <w:t>2 Dringender Tatverdacht</w:t>
      </w:r>
    </w:p>
    <w:p>
      <w:pPr>
        <w:jc w:val="left"/>
      </w:pPr>
      <w:r>
        <w:t>2.1 Der dringende Tatverdacht ergibt sich für die Tat vom 02.05.2026 aus der Wiedererkennung durch den Geschädigten Bulut bei der Wahllichtbildvorlage vom 27.05.2026 (Bl. 41–46 d. A.), aus der Übereinstimmung der beschriebenen Halstätowierung mit den erkennungsdienstlichen Unterlagen sowie aus den Verkehrsdaten des Mobilfunkanschlusses des Beschuldigten, dessen Gerät von 21:31 Uhr bis 21:52 Uhr in der Tatortzelle in Essen-Frohnhausen eingebucht war (Bl. 51–56 d. A.). Für die Taten vom 17.04.2026 und 15.05.2026 folgt der dringende Tatverdacht aus dem übereinstimmenden Tatbild (Messer mit gezackter Klinge, wortgleiche Forderung, Erscheinungsbild) und dem für die Taten 2 und 3 identischen Schuhabdruckprofil.</w:t>
      </w:r>
    </w:p>
    <w:p>
      <w:pPr>
        <w:jc w:val="left"/>
      </w:pPr>
      <w:r>
        <w:t>3 Haftgrund</w:t>
      </w:r>
    </w:p>
    <w:p>
      <w:pPr>
        <w:jc w:val="left"/>
      </w:pPr>
      <w:r>
        <w:t>3.1 Es besteht Fluchtgefahr (§ 112 Abs. 2 Nr. 2 StPO). Der Beschuldigte hat im Verurteilungsfall mit einer erheblichen, nicht mehr bewährungsfähigen Freiheitsstrafe zu rechnen (Mindeststrafe fünf Jahre je Tat). Er verfügt über keine Beschäftigung und keine familiären Bindungen mit stabilisierender Wirkung am Wohnort; zu seiner in Duisburg lebenden Schwester besteht zwar Kontakt, doch vermag dies den erheblichen Fluchtanreiz nicht aufzuwiegen. Mildere Maßnahmen nach § 116 StPO sind nicht ausreichend.</w:t>
      </w:r>
    </w:p>
    <w:p>
      <w:pPr>
        <w:jc w:val="left"/>
      </w:pPr>
      <w:r>
        <w:t>4 Verhältnismäßigkeit</w:t>
      </w:r>
    </w:p>
    <w:p>
      <w:pPr>
        <w:jc w:val="left"/>
      </w:pPr>
      <w:r>
        <w:t>4.1 Die Untersuchungshaft steht zur Bedeutung der Sache und zur erwarteten Strafe nicht außer Verhältnis (§ 112 Abs. 1 Satz 2 StPO).</w:t>
      </w:r>
    </w:p>
    <w:p>
      <w:pPr>
        <w:jc w:val="left"/>
      </w:pPr>
      <w:r>
        <w:t>Brandhoff</w:t>
      </w:r>
    </w:p>
    <w:p>
      <w:pPr>
        <w:jc w:val="left"/>
      </w:pPr>
      <w:r>
        <w:t>Richter am Amtsgericht</w:t>
      </w:r>
    </w:p>
    <w:p>
      <w:pPr>
        <w:jc w:val="left"/>
      </w:pPr>
      <w:r>
        <w:rPr>
          <w:b/>
        </w:rPr>
        <w:t>Hinweis:</w:t>
      </w:r>
      <w:r>
        <w:t xml:space="preserve"> Der Beschuldigte ist unverzüglich, spätestens am Tage nach der Ergreifung, dem zuständigen Richter vorzuführen (§ 115 StPO). Ihm stehen die Rechtsbehelfe der Haftprüfung (§ 117 StPO) und der Haftbeschwerde (§ 304 StPO) zu.</w:t>
      </w:r>
    </w:p>
    <w:sectPr w:rsidR="00FC693F" w:rsidRPr="0006063C" w:rsidSect="00034616">
      <w:headerReference w:type="default" r:id="rId9"/>
      <w:footerReference w:type="default" r:id="rId10"/>
      <w:pgSz w:w="11906" w:h="16838"/>
      <w:pgMar w:top="1417" w:right="1417" w:bottom="1417" w:left="1417" w:header="68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jc w:val="left"/>
    </w:pPr>
    <w:r>
      <w:rPr>
        <w:rFonts w:ascii="Times New Roman" w:hAnsi="Times New Roman"/>
        <w:color w:val="6B6B66"/>
        <w:sz w:val="16"/>
      </w:rPr>
    </w:r>
    <w:r>
      <w:rPr>
        <w:rFonts w:ascii="Times New Roman" w:hAnsi="Times New Roman"/>
        <w:color w:val="6B6B66"/>
        <w:sz w:val="16"/>
      </w:rPr>
      <w:t>Amtsgericht Essen</w:t>
    </w:r>
    <w:r>
      <w:rPr>
        <w:rFonts w:ascii="Times New Roman" w:hAnsi="Times New Roman"/>
        <w:color w:val="6B6B66"/>
        <w:sz w:val="16"/>
      </w:rPr>
      <w:tab/>
      <w:t xml:space="preserve">Seite </w:t>
    </w:r>
    <w:r>
      <w:rPr>
        <w:rFonts w:ascii="Times New Roman" w:hAnsi="Times New Roman"/>
        <w:color w:val="6B6B66"/>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color w:val="3B3F45"/>
        <w:sz w:val="24"/>
      </w:rPr>
      <w:t>Amtsgericht Essen</w:t>
    </w:r>
  </w:p>
  <w:p>
    <w:pPr>
      <w:jc w:val="left"/>
      <w:pBdr>
        <w:bottom w:val="single" w:sz="6" w:space="2" w:color="3B3F45"/>
      </w:pBdr>
    </w:pPr>
    <w:r>
      <w:rPr>
        <w:rFonts w:ascii="Times New Roman" w:hAnsi="Times New Roman"/>
        <w:color w:val="6B6B66"/>
        <w:sz w:val="16"/>
      </w:rPr>
      <w:t>Gericht · 44 Gs 2312/26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