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Dresden, Strafrichter Abteilung 238 | Staatsanwaltschaft Dresden, 238 Js 9064/26</w:t>
      </w:r>
    </w:p>
    <w:p>
      <w:pPr>
        <w:pStyle w:val="Heading2"/>
      </w:pPr>
      <w:r>
        <w:t>Mandatsziel</w:t>
      </w:r>
    </w:p>
    <w:p>
      <w:pPr>
        <w:spacing w:after="120" w:line="259" w:lineRule="auto"/>
      </w:pPr>
      <w:r>
        <w:t>Marlene Krüger, Nebenklageinteressentin und Geschädigte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Nebenklagefähige Aktenauswertung, Schutzantragsentwurf und Beweisanregung zur Sicherung der Originalfotos sowie der Funkstreifenwagen-Bodycam-Metadaten.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Torsten Krüger</w:t>
            </w:r>
          </w:p>
        </w:tc>
      </w:tr>
      <w:tr>
        <w:tc>
          <w:tcPr>
            <w:tcW w:type="dxa" w:w="4986"/>
            <w:vAlign w:val="top"/>
          </w:tcPr>
          <w:p>
            <w:r>
              <w:t>Mandatsbezug</w:t>
            </w:r>
          </w:p>
        </w:tc>
        <w:tc>
          <w:tcPr>
            <w:tcW w:type="dxa" w:w="4986"/>
            <w:vAlign w:val="top"/>
          </w:tcPr>
          <w:p>
            <w:r>
              <w:t>Marlene Krüger, Nebenklageinteressentin und Geschädigte</w:t>
            </w:r>
          </w:p>
        </w:tc>
      </w:tr>
      <w:tr>
        <w:tc>
          <w:tcPr>
            <w:tcW w:type="dxa" w:w="4986"/>
            <w:vAlign w:val="top"/>
          </w:tcPr>
          <w:p>
            <w:r>
              <w:t>Gericht</w:t>
            </w:r>
          </w:p>
        </w:tc>
        <w:tc>
          <w:tcPr>
            <w:tcW w:type="dxa" w:w="4986"/>
            <w:vAlign w:val="top"/>
          </w:tcPr>
          <w:p>
            <w:r>
              <w:t>Amtsgericht Dresden, Strafrichter Abteilung 238</w:t>
            </w:r>
          </w:p>
        </w:tc>
      </w:tr>
      <w:tr>
        <w:tc>
          <w:tcPr>
            <w:tcW w:type="dxa" w:w="4986"/>
            <w:vAlign w:val="top"/>
          </w:tcPr>
          <w:p>
            <w:r>
              <w:t>Staatsanwaltschaft</w:t>
            </w:r>
          </w:p>
        </w:tc>
        <w:tc>
          <w:tcPr>
            <w:tcW w:type="dxa" w:w="4986"/>
            <w:vAlign w:val="top"/>
          </w:tcPr>
          <w:p>
            <w:r>
              <w:t>Staatsanwaltschaft Dresden, 238 Js 9064/26</w:t>
            </w:r>
          </w:p>
        </w:tc>
      </w:tr>
      <w:tr>
        <w:tc>
          <w:tcPr>
            <w:tcW w:type="dxa" w:w="4986"/>
            <w:vAlign w:val="top"/>
          </w:tcPr>
          <w:p>
            <w:r>
              <w:t>Verteidigung oder Vertretung</w:t>
            </w:r>
          </w:p>
        </w:tc>
        <w:tc>
          <w:tcPr>
            <w:tcW w:type="dxa" w:w="4986"/>
            <w:vAlign w:val="top"/>
          </w:tcPr>
          <w:p>
            <w:r>
              <w:t>RA Dr. Konstantin Färber, Dresden</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Dresden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Dresden</w:t>
    </w:r>
  </w:p>
  <w:p>
    <w:pPr>
      <w:jc w:val="left"/>
      <w:pBdr>
        <w:bottom w:val="single" w:sz="6" w:space="2" w:color="3B3F45"/>
      </w:pBdr>
    </w:pPr>
    <w:r>
      <w:rPr>
        <w:rFonts w:ascii="Times New Roman" w:hAnsi="Times New Roman"/>
        <w:color w:val="6B6B66"/>
        <w:sz w:val="16"/>
      </w:rPr>
      <w:t>Strafrichter Abteilung 238 | Staatsanwaltschaft Dresden, 238 Js 9064/26 · 238 Js 9064/26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