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Dresden, Strafrichter Abteilung 238 | Staatsanwaltschaft Dresden, 238 Js 9064/26</w:t>
      </w:r>
    </w:p>
    <w:p>
      <w:pPr>
        <w:pStyle w:val="Heading2"/>
      </w:pPr>
      <w:r>
        <w:t>Arbeitsfassung Sachverhalt</w:t>
      </w:r>
    </w:p>
    <w:p>
      <w:pPr>
        <w:spacing w:after="120" w:line="259" w:lineRule="auto"/>
      </w:pPr>
      <w:r>
        <w:t>Die Geschädigte schildert seit März 2026 eskalierende Streitigkeiten nach der Trennung innerhalb derselben Wohnung. Am Abend des 04.06.2026 soll der Beschuldigte im Flur eine halbvolle Glasflasche gegen die Wand geschlagen und sie anschließend am rechten Unterarm festgehalten haben. Der ärztliche Befund dokumentiert Hämatome am Unterarm, eine kleine Schnittverletzung an der linken Hand und eine Kreislaufreaktion.</w:t>
      </w:r>
    </w:p>
    <w:p>
      <w:pPr>
        <w:spacing w:after="120" w:line="259" w:lineRule="auto"/>
      </w:pPr>
      <w:r>
        <w:t>Zwei Nachbarn hörten Schreie und das Geräusch brechenden Glases, sahen aber keine unmittelbare Gewalthandlung. Der Beschuldigte behauptet, die Geschädigte habe sich an Scherben geschnitten, als sie seine Tasche durchsucht habe. Die Fotos der Polizei zeigen Scherben im Flur und Blutspritzer nahe der Wohnungstür. Das Kind der Parteien war zum Zeitpunkt der Eskalation bei der Großmutter.</w:t>
      </w:r>
    </w:p>
    <w:p>
      <w:pPr>
        <w:spacing w:after="120" w:line="259" w:lineRule="auto"/>
      </w:pPr>
      <w:r>
        <w:t>Die Akte verbindet Strafverfahren, Schutzanordnung, Wohnungszuweisung und Aussagebewertung. Für die Staatsanwaltschaft steht die Frage im Vordergrund, ob die Flasche als gefährliches Werkzeug nachweisbar eingesetzt wurde. Für die Nebenklage geht es zusätzlich um Kontaktunterbindung, Beweissicherung und die Stabilisierung der Aussage vor der Hauptverhandlung.</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04.06.2026</w:t>
            </w:r>
          </w:p>
        </w:tc>
        <w:tc>
          <w:tcPr>
            <w:tcW w:type="dxa" w:w="4986"/>
            <w:vAlign w:val="top"/>
          </w:tcPr>
          <w:p>
            <w:r>
              <w:t>Polizeieinsatz in der Wohnung Alaunstraße 41, Dresden-Neustadt</w:t>
            </w:r>
          </w:p>
        </w:tc>
      </w:tr>
      <w:tr>
        <w:tc>
          <w:tcPr>
            <w:tcW w:type="dxa" w:w="4986"/>
            <w:vAlign w:val="top"/>
          </w:tcPr>
          <w:p>
            <w:r>
              <w:t>05.06.2026</w:t>
            </w:r>
          </w:p>
        </w:tc>
        <w:tc>
          <w:tcPr>
            <w:tcW w:type="dxa" w:w="4986"/>
            <w:vAlign w:val="top"/>
          </w:tcPr>
          <w:p>
            <w:r>
              <w:t>Amtsärztlicher Befund und Fotodokumentation</w:t>
            </w:r>
          </w:p>
        </w:tc>
      </w:tr>
      <w:tr>
        <w:tc>
          <w:tcPr>
            <w:tcW w:type="dxa" w:w="4986"/>
            <w:vAlign w:val="top"/>
          </w:tcPr>
          <w:p>
            <w:r>
              <w:t>06.06.2026</w:t>
            </w:r>
          </w:p>
        </w:tc>
        <w:tc>
          <w:tcPr>
            <w:tcW w:type="dxa" w:w="4986"/>
            <w:vAlign w:val="top"/>
          </w:tcPr>
          <w:p>
            <w:r>
              <w:t>Wohnungsüberlassung und zehntägige Wegweisung durch Polizei</w:t>
            </w:r>
          </w:p>
        </w:tc>
      </w:tr>
      <w:tr>
        <w:tc>
          <w:tcPr>
            <w:tcW w:type="dxa" w:w="4986"/>
            <w:vAlign w:val="top"/>
          </w:tcPr>
          <w:p>
            <w:r>
              <w:t>11.06.2026</w:t>
            </w:r>
          </w:p>
        </w:tc>
        <w:tc>
          <w:tcPr>
            <w:tcW w:type="dxa" w:w="4986"/>
            <w:vAlign w:val="top"/>
          </w:tcPr>
          <w:p>
            <w:r>
              <w:t>Beschuldigtenanhörung versandt</w:t>
            </w:r>
          </w:p>
        </w:tc>
      </w:tr>
      <w:tr>
        <w:tc>
          <w:tcPr>
            <w:tcW w:type="dxa" w:w="4986"/>
            <w:vAlign w:val="top"/>
          </w:tcPr>
          <w:p>
            <w:r>
              <w:t>25.06.2026</w:t>
            </w:r>
          </w:p>
        </w:tc>
        <w:tc>
          <w:tcPr>
            <w:tcW w:type="dxa" w:w="4986"/>
            <w:vAlign w:val="top"/>
          </w:tcPr>
          <w:p>
            <w:r>
              <w:t>Antrag nach Gewaltschutzgesetz vorbereitet</w:t>
            </w:r>
          </w:p>
        </w:tc>
      </w:tr>
      <w:tr>
        <w:tc>
          <w:tcPr>
            <w:tcW w:type="dxa" w:w="4986"/>
            <w:vAlign w:val="top"/>
          </w:tcPr>
          <w:p>
            <w:r>
              <w:t>18.07.2026</w:t>
            </w:r>
          </w:p>
        </w:tc>
        <w:tc>
          <w:tcPr>
            <w:tcW w:type="dxa" w:w="4986"/>
            <w:vAlign w:val="top"/>
          </w:tcPr>
          <w:p>
            <w:r>
              <w:t>Frist zur Stellungnahme im Ermittlungsverfahren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Dresden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Dresden</w:t>
    </w:r>
  </w:p>
  <w:p>
    <w:pPr>
      <w:jc w:val="left"/>
      <w:pBdr>
        <w:bottom w:val="single" w:sz="6" w:space="2" w:color="3B3F45"/>
      </w:pBdr>
    </w:pPr>
    <w:r>
      <w:rPr>
        <w:rFonts w:ascii="Times New Roman" w:hAnsi="Times New Roman"/>
        <w:color w:val="6B6B66"/>
        <w:sz w:val="16"/>
      </w:rPr>
      <w:t>Strafrichter Abteilung 238 | Staatsanwaltschaft Dresden, 238 Js 9064/26 · 238 Js 9064/26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