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Dresden, Strafrichter Abteilung 238 | Staatsanwaltschaft Dresden, 238 Js 9064/26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Nebenklagefähige Aktenauswertung, Schutzantragsentwurf und Beweisanregung zur Sicherung der Originalfotos sowie der Funkstreifenwagen-Bodycam-Metadaten.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Dresden, 238 Js 9064/26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Die bisherige Aktenlage lässt eine abschließende Stellungnahme noch nicht zu, weil zentrale Beweismittel entweder nur zusammengefasst wiedergegeben oder technisch nicht nachvollziehbar dokumentiert sind.</w:t>
      </w:r>
    </w:p>
    <w:p>
      <w:pPr>
        <w:spacing w:after="120" w:line="259" w:lineRule="auto"/>
      </w:pPr>
      <w:r>
        <w:t>Sobald die Nachlieferungen vorliegen, wird eine geordnete Stellungnahme nach Tatsachenkern, Beweiswert, rechtlicher Einordnung und Verfahrensziel eingereicht.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ist bewusst kurz gehalten. Er sichert den nächsten Schritt, ohne eine Sachversion festzuschreiben, die später nach Akteneinsicht korrigiert werden müsste.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Dresden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Dresden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238 | Staatsanwaltschaft Dresden, 238 Js 9064/26 · 238 Js 9064/26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