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Freie und Hansestadt Hamburg</w:t>
      </w:r>
    </w:p>
    <w:p>
      <w:pPr>
        <w:jc w:val="left"/>
      </w:pPr>
      <w:r>
        <w:t>Bezirksamt Hamburg-Mitte</w:t>
      </w:r>
    </w:p>
    <w:p>
      <w:pPr>
        <w:jc w:val="left"/>
      </w:pPr>
      <w:r>
        <w:t>Fachamt Jugend- und Familienhilfe — Jugendgerichtshilfe</w:t>
      </w:r>
    </w:p>
    <w:p>
      <w:pPr>
        <w:jc w:val="left"/>
      </w:pPr>
      <w:r>
        <w:t>Caffamacherreihe 1-3, 20355 Hamburg</w:t>
      </w:r>
    </w:p>
    <w:p>
      <w:pPr>
        <w:jc w:val="left"/>
      </w:pPr>
      <w:r>
        <w:t>Sachbearbeitung: Meret Johannsen, Dipl.-Sozialpädagogin</w:t>
      </w:r>
    </w:p>
    <w:p>
      <w:pPr>
        <w:jc w:val="left"/>
      </w:pPr>
      <w:r>
        <w:t>Geschäftszeichen: JGH 26/0592</w:t>
      </w:r>
    </w:p>
    <w:p>
      <w:pPr>
        <w:jc w:val="left"/>
      </w:pPr>
      <w:r>
        <w:t>Hamburg, den 26.06.2026</w:t>
      </w:r>
    </w:p>
    <w:p>
      <w:pPr>
        <w:jc w:val="left"/>
      </w:pPr>
      <w:r>
        <w:t>An das</w:t>
      </w:r>
    </w:p>
    <w:p>
      <w:pPr>
        <w:jc w:val="left"/>
      </w:pPr>
      <w:r>
        <w:t>Amtsgericht Hamburg</w:t>
      </w:r>
    </w:p>
    <w:p>
      <w:pPr>
        <w:jc w:val="left"/>
      </w:pPr>
      <w:r>
        <w:t>Jugendrichterin, Abteilung 611</w:t>
      </w:r>
    </w:p>
    <w:p>
      <w:pPr>
        <w:jc w:val="left"/>
      </w:pPr>
      <w:r>
        <w:t>nachrichtlich: Staatsanwaltschaft Hamburg, Jugenddezernat, 144 Js 2231/26;</w:t>
      </w:r>
    </w:p>
    <w:p>
      <w:pPr>
        <w:jc w:val="left"/>
      </w:pPr>
      <w:r>
        <w:t>Rechtsanwältin Celina Radtke, Hamburg-Harburg</w:t>
      </w:r>
    </w:p>
    <w:p>
      <w:pPr>
        <w:jc w:val="left"/>
      </w:pPr>
      <w:r>
        <w:t>Bericht der Jugendgerichtshilfe gemäß § 38 JGG in der Jugendstrafsache gegen Emir Yilmaz, geboren am 03.02.2010 in Hamburg, wohnhaft Korallusring 7, 21109 Hamburg</w:t>
      </w:r>
    </w:p>
    <w:p>
      <w:pPr>
        <w:jc w:val="left"/>
      </w:pPr>
      <w:r>
        <w:t>1 Anlass und Grundlage des Berichts</w:t>
      </w:r>
    </w:p>
    <w:p>
      <w:pPr>
        <w:jc w:val="left"/>
      </w:pPr>
      <w:r>
        <w:t>Dem Bericht liegen der Hausbesuch vom 28.05.2026 in der Wohnung der Familie Yilmaz, ein Einzelgespräch mit Emir am 09.06.2026 in den Räumen des Fachamts, ein Telefonat mit der Klassenleitung der Stadtteilschule Kirchdorf am 15.06.2026 sowie die Rückmeldung der Fachstelle für Täter-Opfer-Ausgleich vom 22.06.2026 zugrunde. Die Familie hat an allen Terminen zuverlässig mitgewirkt.</w:t>
      </w:r>
    </w:p>
    <w:p>
      <w:pPr>
        <w:jc w:val="left"/>
      </w:pPr>
      <w:r>
        <w:t>2 Persönliche und familiäre Situation</w:t>
      </w:r>
    </w:p>
    <w:p>
      <w:pPr>
        <w:jc w:val="left"/>
      </w:pPr>
      <w:r>
        <w:t>2.1 Emir ist 16 Jahre alt und besucht die Klasse 10a der Stadtteilschule Kirchdorf. Er lebt mit seiner Mutter Ayla Yilmaz (Verkäuferin in Teilzeit) und seiner 14-jährigen Schwester Derya im Korallusring 7 in Hamburg-Wilhelmsburg. Der Vater lebt seit 2019 getrennt von der Familie; es besteht loser, aber konfliktfreier Kontakt.</w:t>
      </w:r>
    </w:p>
    <w:p>
      <w:pPr>
        <w:jc w:val="left"/>
      </w:pPr>
      <w:r>
        <w:t>2.2 Die familiäre Situation ist stabil und tragfähig. Die Mutter ist erziehungspräsent, setzt Regeln und hat auf den Vorfall unmittelbar reagiert, indem sie das aufgefundene Mobiltelefon noch am Abend des 13.05.2026 selbst zum Polizeikommissariat 44 gebracht und Emir zur Mitwirkung angehalten hat. Anhaltspunkte für Vernachlässigung, Sucht- oder Gewaltproblematik im Haushalt bestehen nicht.</w:t>
      </w:r>
    </w:p>
    <w:p>
      <w:pPr>
        <w:jc w:val="left"/>
      </w:pPr>
      <w:r>
        <w:t>2.3 Sorge bereiten die Schulversäumnisse. Die Schule meldet für das laufende Schuljahr 31 Fehltage, davon 19 unentschuldigt, mit deutlicher Häufung an Montagen. Emir begründet dies mit Antriebslosigkeit und Konflikten im Klassenumfeld. Die Versetzung ist nach Auskunft der Klassenleitung gefährdet, aber bei stabilem Schulbesuch im letzten Quartal noch erreichbar.</w:t>
      </w:r>
    </w:p>
    <w:p>
      <w:pPr>
        <w:jc w:val="left"/>
      </w:pPr>
      <w:r>
        <w:t>3 Haltung des Jugendlichen zur Tat</w:t>
      </w:r>
    </w:p>
    <w:p>
      <w:pPr>
        <w:jc w:val="left"/>
      </w:pPr>
      <w:r>
        <w:t>3.1 Emir hat die Wegnahme des Mobiltelefons im Gespräch ohne Ausflüchte eingeräumt. Er schildert als Auslöser die beleidigenden Nachrichten über seine Schwester im Klassenchat der 9c und gibt an, er habe das Handy nur als Druckmittel behalten wollen, bis die Nachrichten gelöscht seien. Die Wegnahme von Bargeld bestreitet er; ein Cuttermesser will er nicht bei sich geführt haben.</w:t>
      </w:r>
    </w:p>
    <w:p>
      <w:pPr>
        <w:jc w:val="left"/>
      </w:pPr>
      <w:r>
        <w:t>3.2 Emir zeigt Bedauern, das über bloße Folgenangst hinausgeht. Er hat von sich aus vorgeschlagen, sich bei Finn Jansen zu entschuldigen. Die Fachstelle für Täter-Opfer-Ausgleich hat den Fall angenommen; ein erstes getrenntes Vorgespräch mit beiden Jugendlichen ist für die 28. Kalenderwoche vorgesehen. Die Familie des Geschädigten hat ihre Gesprächsbereitschaft über die Schule signalisiert.</w:t>
      </w:r>
    </w:p>
    <w:p>
      <w:pPr>
        <w:jc w:val="left"/>
      </w:pPr>
      <w:r>
        <w:t>4 Erzieherische Einschätzung</w:t>
      </w:r>
    </w:p>
    <w:p>
      <w:pPr>
        <w:jc w:val="left"/>
      </w:pPr>
      <w:r>
        <w:t>4.1 Bei Emir sind schädliche Neigungen im Sinne einer Verfestigung nicht erkennbar. Der Vorfall stellt sich als konfliktbezogene Verfehlung mit vorausgegangener Provokationsgeschichte dar, nicht als Ausdruck einer kriminellen Grundhaltung. Erziehungsbedarf besteht in Bezug auf Konfliktverhalten und Schulbesuch.</w:t>
      </w:r>
    </w:p>
    <w:p>
      <w:pPr>
        <w:jc w:val="left"/>
      </w:pPr>
      <w:r>
        <w:t>4.2 Aus fachlicher Sicht sind ein Täter-Opfer-Ausgleich, die von der Schule angebotene begleitete Konfliktvereinbarung sowie die Teilnahme an einem sozialen Trainingskurs mit dem Schwerpunkt Konfliktbewältigung ausreichend und geeignet. Freiheitsentziehende Maßnahmen oder ein Schuldspruch mit Jugendarrest erscheinen erzieherisch nicht erforderlich und wegen der laufenden schulischen Stabilisierung eher kontraproduktiv.</w:t>
      </w:r>
    </w:p>
    <w:p>
      <w:pPr>
        <w:jc w:val="left"/>
      </w:pPr>
      <w:r>
        <w:t>5 Anregung</w:t>
      </w:r>
    </w:p>
    <w:p>
      <w:pPr>
        <w:jc w:val="left"/>
      </w:pPr>
      <w:r>
        <w:t>Die Jugendgerichtshilfe regt an, das Verfahren bei erfolgreicher Anbahnung des Täter-Opfer-Ausgleichs nach § 45 Abs. 2 JGG oder — nach Anklageerhebung — nach § 47 JGG zu erledigen und die schulische Konfliktvereinbarung sowie den sozialen Trainingskurs als erzieherische Maßnahmen einzubinden. Sollte es zur Hauptverhandlung am 15.07.2026 kommen, wird die Unterzeichnerin teilnehmen und mündlich ergänzend berichten.</w:t>
      </w:r>
    </w:p>
    <w:p>
      <w:pPr>
        <w:jc w:val="left"/>
      </w:pPr>
      <w:r>
        <w:t>Meret Johannsen</w:t>
      </w:r>
    </w:p>
    <w:p>
      <w:pPr>
        <w:jc w:val="left"/>
      </w:pPr>
      <w:r>
        <w:t>Dipl.-Sozialpädagogin</w:t>
      </w:r>
    </w:p>
    <w:p>
      <w:pPr>
        <w:jc w:val="left"/>
      </w:pPr>
      <w:r>
        <w:t>Jugendgerichtshilfe, Bezirksamt Hamburg-Mitte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Fachamt Jugend- und Familienhilfe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Fachamt Jugend- und Familienhilfe</w:t>
    </w:r>
  </w:p>
  <w:p>
    <w:pPr>
      <w:jc w:val="left"/>
      <w:pBdr>
        <w:bottom w:val="single" w:sz="6" w:space="2" w:color="3B3F45"/>
      </w:pBdr>
    </w:pPr>
    <w:r>
      <w:rPr>
        <w:rFonts w:ascii="Times New Roman" w:hAnsi="Times New Roman"/>
        <w:color w:val="6B6B66"/>
        <w:sz w:val="16"/>
      </w:rPr>
      <w:t>Gericht · Geschäftszeichen: JGH 26/0592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