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Sachverhalt und Chronologie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Arbeitsfassung Sachverhalt</w:t>
      </w:r>
    </w:p>
    <w:p>
      <w:pPr>
        <w:spacing w:after="120" w:line="259" w:lineRule="auto"/>
      </w:pPr>
      <w:r>
        <w:t>Der Stadtoberinspektor Markus Eberl bearbeitete Rahmenverträge für Straßenunterhalt und Bauhofmaterial. Die Firma Kiesel &amp; Rath GmbH erhielt in drei Vergaben jeweils den Zuschlag knapp unterhalb interner Kontrollschwellen. Parallel fanden Einladungen zu Fußballspielen und ein Wochenende in Südtirol statt, bezahlt durch den Vertriebsleiter der Firma.</w:t>
      </w:r>
    </w:p>
    <w:p>
      <w:pPr>
        <w:spacing w:after="120" w:line="259" w:lineRule="auto"/>
      </w:pPr>
      <w:r>
        <w:t>Eberl behauptet, die Einladungen seien private Freundschaftspflege gewesen und er habe keine Wertungspunkte manipuliert. Die Vergabeakte zeigt aber ungewöhnliche Loszuschnitte, nachträgliche Bewertungsvermerke und eine E-Mail, in der der Vertriebsleiter die Formulierung eines Leistungsmerkmals vorschlägt. Ein Konkurrenzunternehmen rügt die Ausschreibung wegen Produktnähe.</w:t>
      </w:r>
    </w:p>
    <w:p>
      <w:pPr>
        <w:spacing w:after="120" w:line="259" w:lineRule="auto"/>
      </w:pPr>
      <w:r>
        <w:t>Die Akte verbindet Strafrecht, Vergaberecht, Disziplinarrecht und Compliance. Entscheidend sind Diensthandlung, Unrechtsvereinbarung, Vorteilshöhe, Kausalität für den Zuschlag und die Frage, ob eine belastbare Schadensberechnung möglich ist.</w:t>
      </w:r>
    </w:p>
    <w:p>
      <w:pPr>
        <w:pStyle w:val="Heading2"/>
      </w:pPr>
      <w:r>
        <w:t>Zeitachse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4986"/>
          </w:tcPr>
          <w:p>
            <w:r>
              <w:rPr>
                <w:b/>
              </w:rPr>
              <w:t>Spalte 2</w:t>
            </w:r>
          </w:p>
        </w:tc>
      </w:tr>
      <w:tr>
        <w:tc>
          <w:tcPr>
            <w:tcW w:type="dxa" w:w="4986"/>
            <w:vAlign w:val="top"/>
          </w:tcPr>
          <w:p>
            <w:r>
              <w:t>14.02.2026</w:t>
            </w:r>
          </w:p>
        </w:tc>
        <w:tc>
          <w:tcPr>
            <w:tcW w:type="dxa" w:w="4986"/>
            <w:vAlign w:val="top"/>
          </w:tcPr>
          <w:p>
            <w:r>
              <w:t>interne Compliance-Meldung über auffällige Loszuschnitte</w:t>
            </w:r>
          </w:p>
        </w:tc>
      </w:tr>
      <w:tr>
        <w:tc>
          <w:tcPr>
            <w:tcW w:type="dxa" w:w="4986"/>
            <w:vAlign w:val="top"/>
          </w:tcPr>
          <w:p>
            <w:r>
              <w:t>03.03.2026</w:t>
            </w:r>
          </w:p>
        </w:tc>
        <w:tc>
          <w:tcPr>
            <w:tcW w:type="dxa" w:w="4986"/>
            <w:vAlign w:val="top"/>
          </w:tcPr>
          <w:p>
            <w:r>
              <w:t>Durchsuchung Vergabestelle und Privatwohnung</w:t>
            </w:r>
          </w:p>
        </w:tc>
      </w:tr>
      <w:tr>
        <w:tc>
          <w:tcPr>
            <w:tcW w:type="dxa" w:w="4986"/>
            <w:vAlign w:val="top"/>
          </w:tcPr>
          <w:p>
            <w:r>
              <w:t>17.03.2026</w:t>
            </w:r>
          </w:p>
        </w:tc>
        <w:tc>
          <w:tcPr>
            <w:tcW w:type="dxa" w:w="4986"/>
            <w:vAlign w:val="top"/>
          </w:tcPr>
          <w:p>
            <w:r>
              <w:t>Sicherstellung Diensthandy und privater Kalender</w:t>
            </w:r>
          </w:p>
        </w:tc>
      </w:tr>
      <w:tr>
        <w:tc>
          <w:tcPr>
            <w:tcW w:type="dxa" w:w="4986"/>
            <w:vAlign w:val="top"/>
          </w:tcPr>
          <w:p>
            <w:r>
              <w:t>07.05.2026</w:t>
            </w:r>
          </w:p>
        </w:tc>
        <w:tc>
          <w:tcPr>
            <w:tcW w:type="dxa" w:w="4986"/>
            <w:vAlign w:val="top"/>
          </w:tcPr>
          <w:p>
            <w:r>
              <w:t>Vergabevermerke und Wertungsmatrix in Akte</w:t>
            </w:r>
          </w:p>
        </w:tc>
      </w:tr>
      <w:tr>
        <w:tc>
          <w:tcPr>
            <w:tcW w:type="dxa" w:w="4986"/>
            <w:vAlign w:val="top"/>
          </w:tcPr>
          <w:p>
            <w:r>
              <w:t>28.06.2026</w:t>
            </w:r>
          </w:p>
        </w:tc>
        <w:tc>
          <w:tcPr>
            <w:tcW w:type="dxa" w:w="4986"/>
            <w:vAlign w:val="top"/>
          </w:tcPr>
          <w:p>
            <w:r>
              <w:t>Anhörung Beamtenrecht angekündigt</w:t>
            </w:r>
          </w:p>
        </w:tc>
      </w:tr>
      <w:tr>
        <w:tc>
          <w:tcPr>
            <w:tcW w:type="dxa" w:w="4986"/>
            <w:vAlign w:val="top"/>
          </w:tcPr>
          <w:p>
            <w:r>
              <w:t>16.09.2026</w:t>
            </w:r>
          </w:p>
        </w:tc>
        <w:tc>
          <w:tcPr>
            <w:tcW w:type="dxa" w:w="4986"/>
            <w:vAlign w:val="top"/>
          </w:tcPr>
          <w:p>
            <w:r>
              <w:t>möglicher Termin Haftungs- und Disziplinargespräch</w:t>
            </w:r>
          </w:p>
        </w:tc>
      </w:tr>
    </w:tbl>
    <w:p/>
    <w:p>
      <w:pPr>
        <w:pStyle w:val="Heading2"/>
      </w:pPr>
      <w:r>
        <w:t>Noch offene Widersprüche</w:t>
      </w:r>
    </w:p>
    <w:p>
      <w:pPr>
        <w:pStyle w:val="ListBullet"/>
      </w:pPr>
      <w:r>
        <w:t>Welche Aussage ist unmittelbare Wahrnehmung und welche nur Schlussfolgerung?</w:t>
      </w:r>
    </w:p>
    <w:p>
      <w:pPr>
        <w:pStyle w:val="ListBullet"/>
      </w:pPr>
      <w:r>
        <w:t>Ist der technische Befund zeitlich eindeutig der behaupteten Handlung zuzuordnen?</w:t>
      </w:r>
    </w:p>
    <w:p>
      <w:pPr>
        <w:pStyle w:val="ListBullet"/>
      </w:pPr>
      <w:r>
        <w:t>Gibt es alternative, aktenkundige Erklärungen für das belastende Indiz?</w:t>
      </w:r>
    </w:p>
    <w:p>
      <w:pPr>
        <w:pStyle w:val="ListBullet"/>
      </w:pPr>
      <w:r>
        <w:t>Sind Frist und Zustellung dokumentiert oder nur mündlich mitgeteilt?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München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München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Wirtschaftsstrafkammer 6 | Staatsanwaltschaft München I, 6 Js 9940/26 · 6 Js 9940/26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