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Ermittlungsakte Auszüge und Beweislage</w:t>
      </w:r>
    </w:p>
    <w:p>
      <w:r>
        <w:rPr>
          <w:i/>
          <w:sz w:val="20"/>
        </w:rPr>
        <w:t>Landgericht München I, Wirtschaftsstrafkammer 6 | Staatsanwaltschaft München I, 6 Js 9940/26</w:t>
      </w:r>
    </w:p>
    <w:p>
      <w:pPr>
        <w:pStyle w:val="Heading2"/>
      </w:pPr>
      <w:r>
        <w:t>Aktenauszug</w:t>
      </w:r>
    </w:p>
    <w:p>
      <w:pPr>
        <w:spacing w:after="120" w:line="259" w:lineRule="auto"/>
      </w:pPr>
      <w:r>
        <w:t>Staatsanwaltschaft München I, 6 Js 9940/26 führt die Sache derzeit mit Schwerpunkt auf: Bestechlichkeit nach Paragraf 332 StGB; Vorteilsannahme nach Paragraf 331 StGB; Untreueprüfung wegen Vergabeschaden.</w:t>
      </w:r>
    </w:p>
    <w:p>
      <w:pPr>
        <w:spacing w:after="120" w:line="259" w:lineRule="auto"/>
      </w:pPr>
      <w:r>
        <w:t>Die Ermittlungsakte enthält bereits mehrere belastende Indizien, aber bei einzelnen Beweismitteln fehlen Rohdaten, Sicherungsvermerke oder Anschlussvernehmungen.</w:t>
      </w:r>
    </w:p>
    <w:p>
      <w:pPr>
        <w:spacing w:after="120" w:line="259" w:lineRule="auto"/>
      </w:pPr>
      <w:r>
        <w:t>Für eine gerichtsfeste Bearbeitung müssen Blattstellen, Dateiherkunft und Beweisrichtung nachgetragen werden. Jede spätere Stellungnahme sollte sichtbar machen, was bewiesen ist, was nur behauptet wird und was noch aufgeklärt werden muss.</w:t>
      </w:r>
    </w:p>
    <w:p>
      <w:pPr>
        <w:pStyle w:val="Heading2"/>
      </w:pPr>
      <w:r>
        <w:t>Beweismittelübersicht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Spalte 1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2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3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4</w:t>
            </w:r>
          </w:p>
        </w:tc>
      </w:tr>
      <w:tr>
        <w:tc>
          <w:tcPr>
            <w:tcW w:type="dxa" w:w="2493"/>
            <w:vAlign w:val="top"/>
          </w:tcPr>
          <w:p>
            <w:r>
              <w:t>Vergabevermerk</w:t>
            </w:r>
          </w:p>
        </w:tc>
        <w:tc>
          <w:tcPr>
            <w:tcW w:type="dxa" w:w="2493"/>
            <w:vAlign w:val="top"/>
          </w:tcPr>
          <w:p>
            <w:r>
              <w:t>Bauhof 2025-17</w:t>
            </w:r>
          </w:p>
        </w:tc>
        <w:tc>
          <w:tcPr>
            <w:tcW w:type="dxa" w:w="2493"/>
            <w:vAlign w:val="top"/>
          </w:tcPr>
          <w:p>
            <w:r>
              <w:t>nachträgliche Änderung</w:t>
            </w:r>
          </w:p>
        </w:tc>
        <w:tc>
          <w:tcPr>
            <w:tcW w:type="dxa" w:w="2493"/>
            <w:vAlign w:val="top"/>
          </w:tcPr>
          <w:p>
            <w:r>
              <w:t>Änderung fachlich begründbar</w:t>
            </w:r>
          </w:p>
        </w:tc>
      </w:tr>
      <w:tr>
        <w:tc>
          <w:tcPr>
            <w:tcW w:type="dxa" w:w="2493"/>
            <w:vAlign w:val="top"/>
          </w:tcPr>
          <w:p>
            <w:r>
              <w:t>Kalendereinträge</w:t>
            </w:r>
          </w:p>
        </w:tc>
        <w:tc>
          <w:tcPr>
            <w:tcW w:type="dxa" w:w="2493"/>
            <w:vAlign w:val="top"/>
          </w:tcPr>
          <w:p>
            <w:r>
              <w:t>privater Kalender Eberl</w:t>
            </w:r>
          </w:p>
        </w:tc>
        <w:tc>
          <w:tcPr>
            <w:tcW w:type="dxa" w:w="2493"/>
            <w:vAlign w:val="top"/>
          </w:tcPr>
          <w:p>
            <w:r>
              <w:t>Südtirol-Wochenende</w:t>
            </w:r>
          </w:p>
        </w:tc>
        <w:tc>
          <w:tcPr>
            <w:tcW w:type="dxa" w:w="2493"/>
            <w:vAlign w:val="top"/>
          </w:tcPr>
          <w:p>
            <w:r>
              <w:t>Freundschaftsbehauptung</w:t>
            </w:r>
          </w:p>
        </w:tc>
      </w:tr>
      <w:tr>
        <w:tc>
          <w:tcPr>
            <w:tcW w:type="dxa" w:w="2493"/>
            <w:vAlign w:val="top"/>
          </w:tcPr>
          <w:p>
            <w:r>
              <w:t>E-Mail Vertriebsleiter</w:t>
            </w:r>
          </w:p>
        </w:tc>
        <w:tc>
          <w:tcPr>
            <w:tcW w:type="dxa" w:w="2493"/>
            <w:vAlign w:val="top"/>
          </w:tcPr>
          <w:p>
            <w:r>
              <w:t>Kiesel &amp; Rath</w:t>
            </w:r>
          </w:p>
        </w:tc>
        <w:tc>
          <w:tcPr>
            <w:tcW w:type="dxa" w:w="2493"/>
            <w:vAlign w:val="top"/>
          </w:tcPr>
          <w:p>
            <w:r>
              <w:t>Leistungsmerkmal vorgeschlagen</w:t>
            </w:r>
          </w:p>
        </w:tc>
        <w:tc>
          <w:tcPr>
            <w:tcW w:type="dxa" w:w="2493"/>
            <w:vAlign w:val="top"/>
          </w:tcPr>
          <w:p>
            <w:r>
              <w:t>offen, ob übernommen</w:t>
            </w:r>
          </w:p>
        </w:tc>
      </w:tr>
      <w:tr>
        <w:tc>
          <w:tcPr>
            <w:tcW w:type="dxa" w:w="2493"/>
            <w:vAlign w:val="top"/>
          </w:tcPr>
          <w:p>
            <w:r>
              <w:t>Rüge Konkurrenz</w:t>
            </w:r>
          </w:p>
        </w:tc>
        <w:tc>
          <w:tcPr>
            <w:tcW w:type="dxa" w:w="2493"/>
            <w:vAlign w:val="top"/>
          </w:tcPr>
          <w:p>
            <w:r>
              <w:t>BauTec Süd GmbH</w:t>
            </w:r>
          </w:p>
        </w:tc>
        <w:tc>
          <w:tcPr>
            <w:tcW w:type="dxa" w:w="2493"/>
            <w:vAlign w:val="top"/>
          </w:tcPr>
          <w:p>
            <w:r>
              <w:t>Produktnähe behauptet</w:t>
            </w:r>
          </w:p>
        </w:tc>
        <w:tc>
          <w:tcPr>
            <w:tcW w:type="dxa" w:w="2493"/>
            <w:vAlign w:val="top"/>
          </w:tcPr>
          <w:p>
            <w:r>
              <w:t>Eigeninteresse am Auftrag</w:t>
            </w:r>
          </w:p>
        </w:tc>
      </w:tr>
      <w:tr>
        <w:tc>
          <w:tcPr>
            <w:tcW w:type="dxa" w:w="2493"/>
            <w:vAlign w:val="top"/>
          </w:tcPr>
          <w:p>
            <w:r>
              <w:t>Durchsuchungsbericht</w:t>
            </w:r>
          </w:p>
        </w:tc>
        <w:tc>
          <w:tcPr>
            <w:tcW w:type="dxa" w:w="2493"/>
            <w:vAlign w:val="top"/>
          </w:tcPr>
          <w:p>
            <w:r>
              <w:t>StA München I</w:t>
            </w:r>
          </w:p>
        </w:tc>
        <w:tc>
          <w:tcPr>
            <w:tcW w:type="dxa" w:w="2493"/>
            <w:vAlign w:val="top"/>
          </w:tcPr>
          <w:p>
            <w:r>
              <w:t>Diensthandy gesichert</w:t>
            </w:r>
          </w:p>
        </w:tc>
        <w:tc>
          <w:tcPr>
            <w:tcW w:type="dxa" w:w="2493"/>
            <w:vAlign w:val="top"/>
          </w:tcPr>
          <w:p>
            <w:r>
              <w:t>Passwort für Privatgerät freiwillig genannt</w:t>
            </w:r>
          </w:p>
        </w:tc>
      </w:tr>
    </w:tbl>
    <w:p/>
    <w:p>
      <w:pPr>
        <w:pStyle w:val="Heading2"/>
      </w:pPr>
      <w:r>
        <w:t>Normanker</w:t>
      </w:r>
    </w:p>
    <w:p>
      <w:pPr>
        <w:pStyle w:val="ListBullet"/>
      </w:pPr>
      <w:r>
        <w:t>Paragraf 331 StGB</w:t>
      </w:r>
    </w:p>
    <w:p>
      <w:pPr>
        <w:pStyle w:val="ListBullet"/>
      </w:pPr>
      <w:r>
        <w:t>Paragraf 332 StGB</w:t>
      </w:r>
    </w:p>
    <w:p>
      <w:pPr>
        <w:pStyle w:val="ListBullet"/>
      </w:pPr>
      <w:r>
        <w:t>Paragraf 266 StGB</w:t>
      </w:r>
    </w:p>
    <w:p>
      <w:pPr>
        <w:pStyle w:val="ListBullet"/>
      </w:pPr>
      <w:r>
        <w:t>Paragraf 102 StPO</w:t>
      </w:r>
    </w:p>
    <w:p>
      <w:pPr>
        <w:pStyle w:val="ListBullet"/>
      </w:pPr>
      <w:r>
        <w:t>Paragraf 110 StPO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München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München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Wirtschaftsstrafkammer 6 | Staatsanwaltschaft München I, 6 Js 9940/26 · 6 Js 9940/26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