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Bundesgerichtshof über Landgericht Duisburg, 7 KLs 220 Js 1180/25 | Staatsanwaltschaft Duisburg, 220 Js 1180/25</w:t>
      </w:r>
    </w:p>
    <w:p>
      <w:pPr>
        <w:pStyle w:val="Heading2"/>
      </w:pPr>
      <w:r>
        <w:t>Mandatsziel</w:t>
      </w:r>
    </w:p>
    <w:p>
      <w:pPr>
        <w:spacing w:after="120" w:line="259" w:lineRule="auto"/>
      </w:pPr>
      <w:r>
        <w:t>Murat Candan, verurteilt wegen schweren Raubes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Revisionsbegründung mit vollständiger Verfahrensrüge finalisieren, Protokollberichtigung beobachten und Sachrüge als Auffangnetz knapp, aber tragfähig formulieren.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Murat Candan</w:t>
            </w:r>
          </w:p>
        </w:tc>
      </w:tr>
      <w:tr>
        <w:tc>
          <w:tcPr>
            <w:tcW w:type="dxa" w:w="4986"/>
            <w:vAlign w:val="top"/>
          </w:tcPr>
          <w:p>
            <w:r>
              <w:t>Mandatsbezug</w:t>
            </w:r>
          </w:p>
        </w:tc>
        <w:tc>
          <w:tcPr>
            <w:tcW w:type="dxa" w:w="4986"/>
            <w:vAlign w:val="top"/>
          </w:tcPr>
          <w:p>
            <w:r>
              <w:t>Murat Candan, verurteilt wegen schweren Raubes</w:t>
            </w:r>
          </w:p>
        </w:tc>
      </w:tr>
      <w:tr>
        <w:tc>
          <w:tcPr>
            <w:tcW w:type="dxa" w:w="4986"/>
            <w:vAlign w:val="top"/>
          </w:tcPr>
          <w:p>
            <w:r>
              <w:t>Gericht</w:t>
            </w:r>
          </w:p>
        </w:tc>
        <w:tc>
          <w:tcPr>
            <w:tcW w:type="dxa" w:w="4986"/>
            <w:vAlign w:val="top"/>
          </w:tcPr>
          <w:p>
            <w:r>
              <w:t>Bundesgerichtshof über Landgericht Duisburg, 7 KLs 220 Js 1180/25</w:t>
            </w:r>
          </w:p>
        </w:tc>
      </w:tr>
      <w:tr>
        <w:tc>
          <w:tcPr>
            <w:tcW w:type="dxa" w:w="4986"/>
            <w:vAlign w:val="top"/>
          </w:tcPr>
          <w:p>
            <w:r>
              <w:t>Staatsanwaltschaft</w:t>
            </w:r>
          </w:p>
        </w:tc>
        <w:tc>
          <w:tcPr>
            <w:tcW w:type="dxa" w:w="4986"/>
            <w:vAlign w:val="top"/>
          </w:tcPr>
          <w:p>
            <w:r>
              <w:t>Staatsanwaltschaft Duisburg, 220 Js 1180/25</w:t>
            </w:r>
          </w:p>
        </w:tc>
      </w:tr>
      <w:tr>
        <w:tc>
          <w:tcPr>
            <w:tcW w:type="dxa" w:w="4986"/>
            <w:vAlign w:val="top"/>
          </w:tcPr>
          <w:p>
            <w:r>
              <w:t>Verteidigung oder Vertretung</w:t>
            </w:r>
          </w:p>
        </w:tc>
        <w:tc>
          <w:tcPr>
            <w:tcW w:type="dxa" w:w="4986"/>
            <w:vAlign w:val="top"/>
          </w:tcPr>
          <w:p>
            <w:r>
              <w:t>RA Dr. Enno Falkenberg, Essen</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Bundesgerichtshof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Bundesgerichtshof</w:t>
    </w:r>
  </w:p>
  <w:p>
    <w:pPr>
      <w:jc w:val="left"/>
      <w:pBdr>
        <w:bottom w:val="single" w:sz="6" w:space="2" w:color="3B3F45"/>
      </w:pBdr>
    </w:pPr>
    <w:r>
      <w:rPr>
        <w:rFonts w:ascii="Times New Roman" w:hAnsi="Times New Roman"/>
        <w:color w:val="6B6B66"/>
        <w:sz w:val="16"/>
      </w:rPr>
      <w:t>7 KLs 220 Js 1180/25 | Staatsanwaltschaft Duisburg, 220 Js 1180/25 · 220 Js 1180/25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