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Bundesgerichtshof über Landgericht Duisburg, 7 KLs 220 Js 1180/25 | Staatsanwaltschaft Duisburg, 220 Js 1180/25</w:t>
      </w:r>
    </w:p>
    <w:p>
      <w:pPr>
        <w:pStyle w:val="Heading2"/>
      </w:pPr>
      <w:r>
        <w:t>Arbeitsfassung Sachverhalt</w:t>
      </w:r>
    </w:p>
    <w:p>
      <w:pPr>
        <w:spacing w:after="120" w:line="259" w:lineRule="auto"/>
      </w:pPr>
      <w:r>
        <w:t>Das Landgericht Duisburg verurteilte Murat Candan wegen eines Überfalls auf einen Getränkemarkt. Die Kammer stützte sich wesentlich auf die Aussage eines Mitangeklagten und eine unscharfe Videoaufnahme. Die Verteidigung hatte beantragt, den Taxifahrer Karol Nowak zu vernehmen, der Candan zur Tatzeit am Bahnhof gesehen haben will. Der Antrag wurde als bedeutungslos abgelehnt.</w:t>
      </w:r>
    </w:p>
    <w:p>
      <w:pPr>
        <w:spacing w:after="120" w:line="259" w:lineRule="auto"/>
      </w:pPr>
      <w:r>
        <w:t>Das Hauptverhandlungsprotokoll enthält den Wortlaut des Beweisantrags nur verkürzt. Die Verteidigung besitzt eine eigene Mitschrift und den eingereichten Antrag als PDF. Die Urteilsgründe würdigen das Alibi nur knapp und verweisen darauf, der Taxifahrer könne sich wegen vieler Fahrten nicht zuverlässig erinnern. Eine tatsächliche Vernehmung fand nicht statt.</w:t>
      </w:r>
    </w:p>
    <w:p>
      <w:pPr>
        <w:spacing w:after="120" w:line="259" w:lineRule="auto"/>
      </w:pPr>
      <w:r>
        <w:t>Die Akte zwingt zur revisionsrechtlichen Präzision: Rügebegründung, Protokolllage, Darlegung der Konnexität, Aufklärungsrüge und Sachrüge müssen sauber getrennt werden. Gleichzeitig ist eine mögliche Protokollberichtigung taktisch zu bewerten.</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12.02.2026</w:t>
            </w:r>
          </w:p>
        </w:tc>
        <w:tc>
          <w:tcPr>
            <w:tcW w:type="dxa" w:w="4986"/>
            <w:vAlign w:val="top"/>
          </w:tcPr>
          <w:p>
            <w:r>
              <w:t>Urteil Landgericht Duisburg: fünf Jahre und sechs Monate</w:t>
            </w:r>
          </w:p>
        </w:tc>
      </w:tr>
      <w:tr>
        <w:tc>
          <w:tcPr>
            <w:tcW w:type="dxa" w:w="4986"/>
            <w:vAlign w:val="top"/>
          </w:tcPr>
          <w:p>
            <w:r>
              <w:t>12.02.2026</w:t>
            </w:r>
          </w:p>
        </w:tc>
        <w:tc>
          <w:tcPr>
            <w:tcW w:type="dxa" w:w="4986"/>
            <w:vAlign w:val="top"/>
          </w:tcPr>
          <w:p>
            <w:r>
              <w:t>Revision zu Protokoll eingelegt</w:t>
            </w:r>
          </w:p>
        </w:tc>
      </w:tr>
      <w:tr>
        <w:tc>
          <w:tcPr>
            <w:tcW w:type="dxa" w:w="4986"/>
            <w:vAlign w:val="top"/>
          </w:tcPr>
          <w:p>
            <w:r>
              <w:t>20.04.2026</w:t>
            </w:r>
          </w:p>
        </w:tc>
        <w:tc>
          <w:tcPr>
            <w:tcW w:type="dxa" w:w="4986"/>
            <w:vAlign w:val="top"/>
          </w:tcPr>
          <w:p>
            <w:r>
              <w:t>schriftliche Urteilsgründe zugestellt</w:t>
            </w:r>
          </w:p>
        </w:tc>
      </w:tr>
      <w:tr>
        <w:tc>
          <w:tcPr>
            <w:tcW w:type="dxa" w:w="4986"/>
            <w:vAlign w:val="top"/>
          </w:tcPr>
          <w:p>
            <w:r>
              <w:t>20.05.2026</w:t>
            </w:r>
          </w:p>
        </w:tc>
        <w:tc>
          <w:tcPr>
            <w:tcW w:type="dxa" w:w="4986"/>
            <w:vAlign w:val="top"/>
          </w:tcPr>
          <w:p>
            <w:r>
              <w:t>Fristende Revisionsbegründung</w:t>
            </w:r>
          </w:p>
        </w:tc>
      </w:tr>
      <w:tr>
        <w:tc>
          <w:tcPr>
            <w:tcW w:type="dxa" w:w="4986"/>
            <w:vAlign w:val="top"/>
          </w:tcPr>
          <w:p>
            <w:r>
              <w:t>07.06.2026</w:t>
            </w:r>
          </w:p>
        </w:tc>
        <w:tc>
          <w:tcPr>
            <w:tcW w:type="dxa" w:w="4986"/>
            <w:vAlign w:val="top"/>
          </w:tcPr>
          <w:p>
            <w:r>
              <w:t>Protokollberichtigung durch Vorsitzenden angeregt</w:t>
            </w:r>
          </w:p>
        </w:tc>
      </w:tr>
      <w:tr>
        <w:tc>
          <w:tcPr>
            <w:tcW w:type="dxa" w:w="4986"/>
            <w:vAlign w:val="top"/>
          </w:tcPr>
          <w:p>
            <w:r>
              <w:t>18.06.2026</w:t>
            </w:r>
          </w:p>
        </w:tc>
        <w:tc>
          <w:tcPr>
            <w:tcW w:type="dxa" w:w="4986"/>
            <w:vAlign w:val="top"/>
          </w:tcPr>
          <w:p>
            <w:r>
              <w:t>Erwiderung auf Berichtigungsvermerk vorbereitet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Bundesgerichtshof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Bundesgerichtshof</w:t>
    </w:r>
  </w:p>
  <w:p>
    <w:pPr>
      <w:jc w:val="left"/>
      <w:pBdr>
        <w:bottom w:val="single" w:sz="6" w:space="2" w:color="3B3F45"/>
      </w:pBdr>
    </w:pPr>
    <w:r>
      <w:rPr>
        <w:rFonts w:ascii="Times New Roman" w:hAnsi="Times New Roman"/>
        <w:color w:val="6B6B66"/>
        <w:sz w:val="16"/>
      </w:rPr>
      <w:t>7 KLs 220 Js 1180/25 | Staatsanwaltschaft Duisburg, 220 Js 1180/25 · 220 Js 1180/25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