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Bundesgerichtshof über Landgericht Duisburg, 7 KLs 220 Js 1180/25 | Staatsanwaltschaft Duisburg, 220 Js 1180/25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pStyle w:val="ListBullet"/>
      </w:pPr>
      <w:r>
        <w:t>Normanker: Paragraf 244 StPO, Paragraf 344 StPO, Paragraf 345 StPO, Paragraf 261 StPO, Paragraf 337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Revisionsbegründung mit vollständiger Verfahrensrüge finalisieren, Protokollberichtigung beobachten und Sachrüge als Auffangnetz knapp, aber tragfähig formulieren.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Bundesgerichtshof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Bundesgerichtshof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7 KLs 220 Js 1180/25 | Staatsanwaltschaft Duisburg, 220 Js 1180/25 · 220 Js 1180/25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