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Bundesgerichtshof über Landgericht Duisburg, 7 KLs 220 Js 1180/25 | Staatsanwaltschaft Duisburg, 220 Js 1180/25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Revisionsbegründung mit vollständiger Verfahrensrüge finalisieren, Protokollberichtigung beobachten und Sachrüge als Auffangnetz knapp, aber tragfähig formulieren.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Duisburg, 220 Js 1180/25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7 KLs 220 Js 1180/25 | Staatsanwaltschaft Duisburg, 220 Js 1180/25 · 220 Js 1180/25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