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Mainz, Jugend- und Schutzkammer 3 | Staatsanwaltschaft Mainz, 3 Js 3081/26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Nebenklageanschluss, Schutzanträge, behutsame Vorbereitung der Vernehmung und Antrag auf Sicherung der Original-Sprachnachrichten samt Metadaten.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Mainz, 3 Js 3081/26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Mainz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Mainz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Jugend- und Schutzkammer 3 | Staatsanwaltschaft Mainz, 3 Js 3081/26 · 3 Js 3081/26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