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4"/>
        </w:rPr>
        <w:t>Ermittlungsakte Auszüge und Beweislage</w:t>
      </w:r>
    </w:p>
    <w:p>
      <w:r>
        <w:rPr>
          <w:i/>
          <w:sz w:val="20"/>
        </w:rPr>
        <w:t>Amtsgericht Hannover, Strafrichter Abteilung 312 | Staatsanwaltschaft Hannover, 312 Js 5020/26</w:t>
      </w:r>
    </w:p>
    <w:p>
      <w:pPr>
        <w:pStyle w:val="Heading2"/>
      </w:pPr>
      <w:r>
        <w:t>Aktenauszug</w:t>
      </w:r>
    </w:p>
    <w:p>
      <w:pPr>
        <w:spacing w:after="120" w:line="259" w:lineRule="auto"/>
      </w:pPr>
      <w:r>
        <w:t>Staatsanwaltschaft Hannover, 312 Js 5020/26 führt die Sache derzeit mit Schwerpunkt auf: Nachstellung nach Paragraf 238 StGB; Verstoß gegen Kontaktverbot als Folgerisiko; Daten- und Kommunikationsspuren als Beweiskern.</w:t>
      </w:r>
    </w:p>
    <w:p>
      <w:pPr>
        <w:spacing w:after="120" w:line="259" w:lineRule="auto"/>
      </w:pPr>
      <w:r>
        <w:t>Die Ermittlungsakte enthält bereits mehrere belastende Indizien, aber bei einzelnen Beweismitteln fehlen Rohdaten, Sicherungsvermerke oder Anschlussvernehmungen.</w:t>
      </w:r>
    </w:p>
    <w:p>
      <w:pPr>
        <w:spacing w:after="120" w:line="259" w:lineRule="auto"/>
      </w:pPr>
      <w:r>
        <w:t>Für eine gerichtsfeste Bearbeitung müssen Blattstellen, Dateiherkunft und Beweisrichtung nachgetragen werden. Jede spätere Stellungnahme sollte sichtbar machen, was bewiesen ist, was nur behauptet wird und was noch aufgeklärt werden muss.</w:t>
      </w:r>
    </w:p>
    <w:p>
      <w:pPr>
        <w:pStyle w:val="Heading2"/>
      </w:pPr>
      <w:r>
        <w:t>Beweismittelübersicht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</w:rPr>
              <w:t>Spalte 1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2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3</w:t>
            </w:r>
          </w:p>
        </w:tc>
        <w:tc>
          <w:tcPr>
            <w:tcW w:type="dxa" w:w="2493"/>
          </w:tcPr>
          <w:p>
            <w:r>
              <w:rPr>
                <w:b/>
              </w:rPr>
              <w:t>Spalte 4</w:t>
            </w:r>
          </w:p>
        </w:tc>
      </w:tr>
      <w:tr>
        <w:tc>
          <w:tcPr>
            <w:tcW w:type="dxa" w:w="2493"/>
            <w:vAlign w:val="top"/>
          </w:tcPr>
          <w:p>
            <w:r>
              <w:t>GPS-Tracker</w:t>
            </w:r>
          </w:p>
        </w:tc>
        <w:tc>
          <w:tcPr>
            <w:tcW w:type="dxa" w:w="2493"/>
            <w:vAlign w:val="top"/>
          </w:tcPr>
          <w:p>
            <w:r>
              <w:t>Werkstatt Autohaus Leinau</w:t>
            </w:r>
          </w:p>
        </w:tc>
        <w:tc>
          <w:tcPr>
            <w:tcW w:type="dxa" w:w="2493"/>
            <w:vAlign w:val="top"/>
          </w:tcPr>
          <w:p>
            <w:r>
              <w:t>Gerät am Fahrzeug gefunden</w:t>
            </w:r>
          </w:p>
        </w:tc>
        <w:tc>
          <w:tcPr>
            <w:tcW w:type="dxa" w:w="2493"/>
            <w:vAlign w:val="top"/>
          </w:tcPr>
          <w:p>
            <w:r>
              <w:t>Fingerabdrücke unergiebig</w:t>
            </w:r>
          </w:p>
        </w:tc>
      </w:tr>
      <w:tr>
        <w:tc>
          <w:tcPr>
            <w:tcW w:type="dxa" w:w="2493"/>
            <w:vAlign w:val="top"/>
          </w:tcPr>
          <w:p>
            <w:r>
              <w:t>Screenshots Profile</w:t>
            </w:r>
          </w:p>
        </w:tc>
        <w:tc>
          <w:tcPr>
            <w:tcW w:type="dxa" w:w="2493"/>
            <w:vAlign w:val="top"/>
          </w:tcPr>
          <w:p>
            <w:r>
              <w:t>Instagram und Messenger</w:t>
            </w:r>
          </w:p>
        </w:tc>
        <w:tc>
          <w:tcPr>
            <w:tcW w:type="dxa" w:w="2493"/>
            <w:vAlign w:val="top"/>
          </w:tcPr>
          <w:p>
            <w:r>
              <w:t>nicht öffentliches Urlaubsfoto</w:t>
            </w:r>
          </w:p>
        </w:tc>
        <w:tc>
          <w:tcPr>
            <w:tcW w:type="dxa" w:w="2493"/>
            <w:vAlign w:val="top"/>
          </w:tcPr>
          <w:p>
            <w:r>
              <w:t>Accountinhaber noch offen</w:t>
            </w:r>
          </w:p>
        </w:tc>
      </w:tr>
      <w:tr>
        <w:tc>
          <w:tcPr>
            <w:tcW w:type="dxa" w:w="2493"/>
            <w:vAlign w:val="top"/>
          </w:tcPr>
          <w:p>
            <w:r>
              <w:t>SIM-Karten-Daten</w:t>
            </w:r>
          </w:p>
        </w:tc>
        <w:tc>
          <w:tcPr>
            <w:tcW w:type="dxa" w:w="2493"/>
            <w:vAlign w:val="top"/>
          </w:tcPr>
          <w:p>
            <w:r>
              <w:t>Prepaid-Provider</w:t>
            </w:r>
          </w:p>
        </w:tc>
        <w:tc>
          <w:tcPr>
            <w:tcW w:type="dxa" w:w="2493"/>
            <w:vAlign w:val="top"/>
          </w:tcPr>
          <w:p>
            <w:r>
              <w:t>Bewegungsmuster</w:t>
            </w:r>
          </w:p>
        </w:tc>
        <w:tc>
          <w:tcPr>
            <w:tcW w:type="dxa" w:w="2493"/>
            <w:vAlign w:val="top"/>
          </w:tcPr>
          <w:p>
            <w:r>
              <w:t>Käufer nicht identifiziert</w:t>
            </w:r>
          </w:p>
        </w:tc>
      </w:tr>
      <w:tr>
        <w:tc>
          <w:tcPr>
            <w:tcW w:type="dxa" w:w="2493"/>
            <w:vAlign w:val="top"/>
          </w:tcPr>
          <w:p>
            <w:r>
              <w:t>Zeugin Schwester</w:t>
            </w:r>
          </w:p>
        </w:tc>
        <w:tc>
          <w:tcPr>
            <w:tcW w:type="dxa" w:w="2493"/>
            <w:vAlign w:val="top"/>
          </w:tcPr>
          <w:p>
            <w:r>
              <w:t>Maja Wienholt</w:t>
            </w:r>
          </w:p>
        </w:tc>
        <w:tc>
          <w:tcPr>
            <w:tcW w:type="dxa" w:w="2493"/>
            <w:vAlign w:val="top"/>
          </w:tcPr>
          <w:p>
            <w:r>
              <w:t>Angst und Ausweichwohnung</w:t>
            </w:r>
          </w:p>
        </w:tc>
        <w:tc>
          <w:tcPr>
            <w:tcW w:type="dxa" w:w="2493"/>
            <w:vAlign w:val="top"/>
          </w:tcPr>
          <w:p>
            <w:r>
              <w:t>keine unmittelbare Tatwahrnehmung</w:t>
            </w:r>
          </w:p>
        </w:tc>
      </w:tr>
      <w:tr>
        <w:tc>
          <w:tcPr>
            <w:tcW w:type="dxa" w:w="2493"/>
            <w:vAlign w:val="top"/>
          </w:tcPr>
          <w:p>
            <w:r>
              <w:t>Gefährderansprache</w:t>
            </w:r>
          </w:p>
        </w:tc>
        <w:tc>
          <w:tcPr>
            <w:tcW w:type="dxa" w:w="2493"/>
            <w:vAlign w:val="top"/>
          </w:tcPr>
          <w:p>
            <w:r>
              <w:t>Polizei Hannover</w:t>
            </w:r>
          </w:p>
        </w:tc>
        <w:tc>
          <w:tcPr>
            <w:tcW w:type="dxa" w:w="2493"/>
            <w:vAlign w:val="top"/>
          </w:tcPr>
          <w:p>
            <w:r>
              <w:t>Kontaktverbot mündlich erläutert</w:t>
            </w:r>
          </w:p>
        </w:tc>
        <w:tc>
          <w:tcPr>
            <w:tcW w:type="dxa" w:w="2493"/>
            <w:vAlign w:val="top"/>
          </w:tcPr>
          <w:p>
            <w:r>
              <w:t>keine strafbewehrte gerichtliche Anordnung zu diesem Zeitpunkt</w:t>
            </w:r>
          </w:p>
        </w:tc>
      </w:tr>
    </w:tbl>
    <w:p/>
    <w:p>
      <w:pPr>
        <w:pStyle w:val="Heading2"/>
      </w:pPr>
      <w:r>
        <w:t>Normanker</w:t>
      </w:r>
    </w:p>
    <w:p>
      <w:pPr>
        <w:pStyle w:val="ListBullet"/>
      </w:pPr>
      <w:r>
        <w:t>Paragraf 238 StGB</w:t>
      </w:r>
    </w:p>
    <w:p>
      <w:pPr>
        <w:pStyle w:val="ListBullet"/>
      </w:pPr>
      <w:r>
        <w:t>Paragraf 201a StGB</w:t>
      </w:r>
    </w:p>
    <w:p>
      <w:pPr>
        <w:pStyle w:val="ListBullet"/>
      </w:pPr>
      <w:r>
        <w:t>Paragraf 100g StPO</w:t>
      </w:r>
    </w:p>
    <w:p>
      <w:pPr>
        <w:pStyle w:val="ListBullet"/>
      </w:pPr>
      <w:r>
        <w:t>Paragraf 406h StPO</w:t>
      </w:r>
    </w:p>
    <w:p>
      <w:pPr>
        <w:pStyle w:val="ListBullet"/>
      </w:pPr>
      <w:r>
        <w:t>Paragraf 244 StPO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680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71" w:val="right"/>
      </w:tabs>
      <w:jc w:val="left"/>
    </w:pPr>
    <w:r>
      <w:rPr>
        <w:rFonts w:ascii="Times New Roman" w:hAnsi="Times New Roman"/>
        <w:color w:val="6B6B66"/>
        <w:sz w:val="16"/>
      </w:rPr>
    </w:r>
    <w:r>
      <w:rPr>
        <w:rFonts w:ascii="Times New Roman" w:hAnsi="Times New Roman"/>
        <w:color w:val="6B6B66"/>
        <w:sz w:val="16"/>
      </w:rPr>
      <w:t>Amtsgericht Hannover</w:t>
    </w:r>
    <w:r>
      <w:rPr>
        <w:rFonts w:ascii="Times New Roman" w:hAnsi="Times New Roman"/>
        <w:color w:val="6B6B66"/>
        <w:sz w:val="16"/>
      </w:rPr>
      <w:tab/>
      <w:t xml:space="preserve">Seite </w:t>
    </w:r>
    <w:r>
      <w:rPr>
        <w:rFonts w:ascii="Times New Roman" w:hAnsi="Times New Roman"/>
        <w:color w:val="6B6B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/>
        <w:color w:val="3B3F45"/>
        <w:sz w:val="24"/>
      </w:rPr>
      <w:t>Amtsgericht Hannover</w:t>
    </w:r>
  </w:p>
  <w:p>
    <w:pPr>
      <w:jc w:val="left"/>
      <w:pBdr>
        <w:bottom w:val="single" w:sz="6" w:space="2" w:color="3B3F45"/>
      </w:pBdr>
    </w:pPr>
    <w:r>
      <w:rPr>
        <w:rFonts w:ascii="Times New Roman" w:hAnsi="Times New Roman"/>
        <w:color w:val="6B6B66"/>
        <w:sz w:val="16"/>
      </w:rPr>
      <w:t>Strafrichter Abteilung 312 | Staatsanwaltschaft Hannover, 312 Js 5020/26 · 312 Js 5020/26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