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Übernahme- und Abtrennungsverfügung der Staatsanwaltschaft Leipzig (3. Februar 2026)</w:t>
      </w:r>
    </w:p>
    <w:p>
      <w:pPr>
        <w:jc w:val="left"/>
      </w:pPr>
      <w:r>
        <w:rPr>
          <w:b/>
        </w:rPr>
        <w:t>Staatsanwaltschaft Leipzig</w:t>
      </w:r>
    </w:p>
    <w:p>
      <w:pPr>
        <w:jc w:val="left"/>
      </w:pPr>
      <w:r>
        <w:t>Abteilung VI — Korruptions- und Amtsdelikte</w:t>
      </w:r>
    </w:p>
    <w:p>
      <w:pPr>
        <w:jc w:val="left"/>
      </w:pPr>
      <w:r>
        <w:t>Straße des 17. Juni 2, 04107 Leipzig</w:t>
      </w:r>
    </w:p>
    <w:p>
      <w:pPr>
        <w:jc w:val="left"/>
      </w:pPr>
      <w:r>
        <w:t>Telefon: 0341 494-0 | Telefax: 0341 494-2222</w:t>
      </w:r>
    </w:p>
    <w:p>
      <w:pPr>
        <w:jc w:val="left"/>
      </w:pPr>
      <w:r>
        <w:rPr>
          <w:b/>
        </w:rPr>
        <w:t>Aktenzeichen (neu):</w:t>
      </w:r>
      <w:r>
        <w:t xml:space="preserve"> 630 Js 11217/26 | </w:t>
      </w:r>
      <w:r>
        <w:rPr>
          <w:b/>
        </w:rPr>
        <w:t>Ausgangsverfahren:</w:t>
      </w:r>
      <w:r>
        <w:t xml:space="preserve"> 320 Js 8842/25</w:t>
      </w:r>
    </w:p>
    <w:p>
      <w:pPr>
        <w:jc w:val="left"/>
      </w:pPr>
      <w:r>
        <w:t>Leipzig, den 3. Februar 2026</w:t>
      </w:r>
    </w:p>
    <w:p>
      <w:pPr>
        <w:jc w:val="left"/>
      </w:pPr>
      <w:r>
        <w:t>Bl. 1–2 d. A.</w:t>
      </w:r>
    </w:p>
    <w:p>
      <w:pPr>
        <w:pStyle w:val="Heading2"/>
      </w:pPr>
      <w:r>
        <w:rPr>
          <w:rFonts w:ascii="Times New Roman" w:hAnsi="Times New Roman"/>
        </w:rPr>
        <w:t>Verfügung</w:t>
      </w:r>
    </w:p>
    <w:p>
      <w:pPr>
        <w:jc w:val="left"/>
      </w:pPr>
      <w:r>
        <w:t xml:space="preserve">1 Aufgrund des Vermerks der KPI Leipzig vom 20. Januar 2026 wird gegen </w:t>
      </w:r>
      <w:r>
        <w:rPr>
          <w:b/>
        </w:rPr>
        <w:t>Jens Kabusch</w:t>
      </w:r>
      <w:r>
        <w:t xml:space="preserve">, geboren am 23.08.1979, wohnhaft Meusdorfer Straße 27, 04277 Leipzig, Stadtoberinspektor bei der Fahrerlaubnisbehörde der Stadt Leipzig, ein Ermittlungsverfahren wegen des Verdachts der Bestechlichkeit (§ 332 Abs. 1 StGB) eingeleitet. Der Vorgang wird von dem Verfahren 320 Js 8842/25 </w:t>
      </w:r>
      <w:r>
        <w:rPr>
          <w:b/>
        </w:rPr>
        <w:t>abgetrennt</w:t>
      </w:r>
      <w:r>
        <w:t xml:space="preserve"> und unter dem neuen Aktenzeichen in Abteilung VI </w:t>
      </w:r>
      <w:r>
        <w:rPr>
          <w:b/>
        </w:rPr>
        <w:t>übernommen</w:t>
      </w:r>
      <w:r>
        <w:t>; gegen Milan Petrasch und die begünstigten Antragsteller wird das Verfahren wegen Bestechung (§ 334 StGB) hier mitgeführt.</w:t>
      </w:r>
    </w:p>
    <w:p>
      <w:pPr>
        <w:jc w:val="left"/>
      </w:pPr>
      <w:r>
        <w:t xml:space="preserve">2 </w:t>
      </w:r>
      <w:r>
        <w:rPr>
          <w:b/>
        </w:rPr>
        <w:t>Verwendungsentscheidung:</w:t>
      </w:r>
      <w:r>
        <w:t xml:space="preserve"> Die aus der Maßnahme nach § 100a StPO (AG Leipzig, 97 Gs 2214/25) erlangten personenbezogenen Erkenntnisse dürfen zu Beweiszwecken im hiesigen Verfahren verwendet werden (§ 479 Abs. 2 Satz 1 i. V. m. § 161 Abs. 3 StPO). Die Bestechlichkeit nach § 332 StGB ist Katalogtat des § 100a Abs. 2 Nr. 1 StPO; zur Aufklärung einer solchen Tat hätte die Maßnahme auch im hiesigen Verfahren angeordnet werden dürfen. Die Prüfung der Schwere im Einzelfall (§ 100a Abs. 1 Satz 1 Nr. 2 StPO) ist mit Blick auf die Seriennatur (sieben Verdachtsfälle in drei Monaten), die Stellung des Beschuldigten als Amtsträger und die Gefährdung der Verkehrssicherheit durch erschlichene Fahrerlaubnisse zu bejahen; ein Vermerk hierzu ist zu den Akten genommen. Die Kennzeichnungspflicht (§ 479 Abs. 2 Satz 2 StPO) ist beachtet.</w:t>
      </w:r>
    </w:p>
    <w:p>
      <w:pPr>
        <w:jc w:val="left"/>
      </w:pPr>
      <w:r>
        <w:t>3 Die KPI Leipzig, Dezernat 35 (Korruptionsdelikte), wird mit den weiteren Ermittlungen beauftragt: Beiziehung des elektronischen Terminkalenders der Fahrerlaubnisbehörde für den Zeitraum Oktober 2025 bis Januar 2026 im Wege des Ersuchens an die Stadt Leipzig; Kontenabfrage und Erhebung der Kontoumsätze des Beschuldigten (§§ 161, 163 StPO; Auskunftsersuchen an die Sparkasse Leipzig); Feststellung der Bescheidlagen in den sieben Verdachtsfällen.</w:t>
      </w:r>
    </w:p>
    <w:p>
      <w:pPr>
        <w:jc w:val="left"/>
      </w:pPr>
      <w:r>
        <w:t>4 Benachrichtigungen nach § 101 Abs. 4 StPO betreffend die Zufallsfund-Betroffenen werden zurückgestellt, solange der Untersuchungszweck gefährdet wäre (§ 101 Abs. 5 StPO); Wiedervorlage zur Prüfung mit Abschluss der offenen Maßnahmen.</w:t>
      </w:r>
    </w:p>
    <w:p>
      <w:pPr>
        <w:jc w:val="left"/>
      </w:pPr>
      <w:r>
        <w:t>5 Wiedervorlage: mit Bericht der KPI, spätestens am 15. März 2026.</w:t>
      </w:r>
    </w:p>
    <w:p>
      <w:pPr>
        <w:jc w:val="left"/>
      </w:pPr>
      <w:r>
        <w:t>Dr. Zimmerkorn</w:t>
      </w:r>
    </w:p>
    <w:p>
      <w:pPr>
        <w:jc w:val="left"/>
      </w:pPr>
      <w:r>
        <w:t>Oberstaatsanwalt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Staatsanwaltschaft Leipzig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Staatsanwaltschaft Leipzig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630 Js 11217/26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