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Kassel, Schöffengericht Abteilung 42 | Staatsanwaltschaft Kassel, 42 Js 3771/26</w:t>
      </w:r>
    </w:p>
    <w:p>
      <w:pPr>
        <w:pStyle w:val="Heading2"/>
      </w:pPr>
      <w:r>
        <w:t>Arbeitsfassung Sachverhalt</w:t>
      </w:r>
    </w:p>
    <w:p>
      <w:pPr>
        <w:spacing w:after="120" w:line="259" w:lineRule="auto"/>
      </w:pPr>
      <w:r>
        <w:t>Der SV Nordpark Kassel erhielt 2024 und 2025 Sponsoringzahlungen eines lokalen Autohauses und Zuschüsse für die Jugendarbeit. Der frühere Schatzmeister Peter Schulte führte das Kassenbuch allein und hob mehrfach Bargeld ab. Nach seinem Rücktritt fehlen 48.620 Euro. Schulte behauptet, Auslagen für Turniere, Trikots, Fahrten und Schiedsrichter bar bezahlt zu haben.</w:t>
      </w:r>
    </w:p>
    <w:p>
      <w:pPr>
        <w:spacing w:after="120" w:line="259" w:lineRule="auto"/>
      </w:pPr>
      <w:r>
        <w:t>Die Belegordner enthalten echte Rechnungen, Dubletten und mehrere Quittungen mit identischem Schriftbild. In der Wohnung des Beschuldigten wurden Umschläge mit Bargeld und ein privates Tabellenblatt gefunden. Ein Teil der Beträge floss an die Jugendmannschaft; ein anderer Teil lässt sich nicht zuordnen. Der Vorstand hatte keine klare Vier-Augen-Regel beschlossen.</w:t>
      </w:r>
    </w:p>
    <w:p>
      <w:pPr>
        <w:spacing w:after="120" w:line="259" w:lineRule="auto"/>
      </w:pPr>
      <w:r>
        <w:t>Die Akte zwingt zur genauen Prüfung von Vermögensbetreuungspflicht, Pflichtverletzung, Vorsatz und Schaden. Für den Verein geht es um Anschlussentscheidungen: Vermögensarrest, Adhäsion, zivilrechtliche Sicherung und zugleich Vermeidung einer vorschnellen öffentlichen Vorverurteilung.</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15.01.2026</w:t>
            </w:r>
          </w:p>
        </w:tc>
        <w:tc>
          <w:tcPr>
            <w:tcW w:type="dxa" w:w="4986"/>
            <w:vAlign w:val="top"/>
          </w:tcPr>
          <w:p>
            <w:r>
              <w:t>interne Kassenprüfung stellt Lücke fest</w:t>
            </w:r>
          </w:p>
        </w:tc>
      </w:tr>
      <w:tr>
        <w:tc>
          <w:tcPr>
            <w:tcW w:type="dxa" w:w="4986"/>
            <w:vAlign w:val="top"/>
          </w:tcPr>
          <w:p>
            <w:r>
              <w:t>02.02.2026</w:t>
            </w:r>
          </w:p>
        </w:tc>
        <w:tc>
          <w:tcPr>
            <w:tcW w:type="dxa" w:w="4986"/>
            <w:vAlign w:val="top"/>
          </w:tcPr>
          <w:p>
            <w:r>
              <w:t>Sondervorstandssitzung und Abwahl Schatzmeister</w:t>
            </w:r>
          </w:p>
        </w:tc>
      </w:tr>
      <w:tr>
        <w:tc>
          <w:tcPr>
            <w:tcW w:type="dxa" w:w="4986"/>
            <w:vAlign w:val="top"/>
          </w:tcPr>
          <w:p>
            <w:r>
              <w:t>20.02.2026</w:t>
            </w:r>
          </w:p>
        </w:tc>
        <w:tc>
          <w:tcPr>
            <w:tcW w:type="dxa" w:w="4986"/>
            <w:vAlign w:val="top"/>
          </w:tcPr>
          <w:p>
            <w:r>
              <w:t>Strafanzeige und Herausgabeverlangen</w:t>
            </w:r>
          </w:p>
        </w:tc>
      </w:tr>
      <w:tr>
        <w:tc>
          <w:tcPr>
            <w:tcW w:type="dxa" w:w="4986"/>
            <w:vAlign w:val="top"/>
          </w:tcPr>
          <w:p>
            <w:r>
              <w:t>18.04.2026</w:t>
            </w:r>
          </w:p>
        </w:tc>
        <w:tc>
          <w:tcPr>
            <w:tcW w:type="dxa" w:w="4986"/>
            <w:vAlign w:val="top"/>
          </w:tcPr>
          <w:p>
            <w:r>
              <w:t>Durchsuchung Privatwohnung Schulte</w:t>
            </w:r>
          </w:p>
        </w:tc>
      </w:tr>
      <w:tr>
        <w:tc>
          <w:tcPr>
            <w:tcW w:type="dxa" w:w="4986"/>
            <w:vAlign w:val="top"/>
          </w:tcPr>
          <w:p>
            <w:r>
              <w:t>03.06.2026</w:t>
            </w:r>
          </w:p>
        </w:tc>
        <w:tc>
          <w:tcPr>
            <w:tcW w:type="dxa" w:w="4986"/>
            <w:vAlign w:val="top"/>
          </w:tcPr>
          <w:p>
            <w:r>
              <w:t>Bankunterlagen der Vereinskonten vollständig</w:t>
            </w:r>
          </w:p>
        </w:tc>
      </w:tr>
      <w:tr>
        <w:tc>
          <w:tcPr>
            <w:tcW w:type="dxa" w:w="4986"/>
            <w:vAlign w:val="top"/>
          </w:tcPr>
          <w:p>
            <w:r>
              <w:t>12.08.2026</w:t>
            </w:r>
          </w:p>
        </w:tc>
        <w:tc>
          <w:tcPr>
            <w:tcW w:type="dxa" w:w="4986"/>
            <w:vAlign w:val="top"/>
          </w:tcPr>
          <w:p>
            <w:r>
              <w:t>zivilrechtliche Klagefrist im Vorstand beschlossen</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Kassel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Kassel</w:t>
    </w:r>
  </w:p>
  <w:p>
    <w:pPr>
      <w:jc w:val="left"/>
      <w:pBdr>
        <w:bottom w:val="single" w:sz="6" w:space="2" w:color="3B3F45"/>
      </w:pBdr>
    </w:pPr>
    <w:r>
      <w:rPr>
        <w:rFonts w:ascii="Times New Roman" w:hAnsi="Times New Roman"/>
        <w:color w:val="6B6B66"/>
        <w:sz w:val="16"/>
      </w:rPr>
      <w:t>Schöffengericht Abteilung 42 | Staatsanwaltschaft Kassel, 42 Js 3771/26 · 42 Js 3771/26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