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Kassel, Schöffengericht Abteilung 42 | Staatsanwaltschaft Kassel, 42 Js 3771/26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Schadensmatrix finalisieren, Arrestanregung prüfen, Belege in echte Ausgaben und ungeklärte Abflüsse trennen und Adhäsionsantrag vorbereiten.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Kassel, 42 Js 3771/26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Kassel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Kassel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Schöffengericht Abteilung 42 | Staatsanwaltschaft Kassel, 42 Js 3771/26 · 42 Js 3771/26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