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Ermittlungsakte Auszüge und Beweislage</w:t>
      </w:r>
    </w:p>
    <w:p>
      <w:r>
        <w:rPr>
          <w:i/>
          <w:sz w:val="20"/>
        </w:rPr>
        <w:t>Amtsgericht Bremen, Strafrichter Abteilung 95 | Staatsanwaltschaft Bremen, 95 Js 4402/26</w:t>
      </w:r>
    </w:p>
    <w:p>
      <w:pPr>
        <w:pStyle w:val="Heading2"/>
      </w:pPr>
      <w:r>
        <w:t>Aktenauszug</w:t>
      </w:r>
    </w:p>
    <w:p>
      <w:pPr>
        <w:spacing w:after="120" w:line="259" w:lineRule="auto"/>
      </w:pPr>
      <w:r>
        <w:t>Staatsanwaltschaft Bremen, 95 Js 4402/26 führt die Sache derzeit mit Schwerpunkt auf: Urkundenfälschung nach Paragraf 267 StGB; Betrugsprüfung wegen Entgeltfortzahlung; Gebrauchmachen eines veränderten Dokuments.</w:t>
      </w:r>
    </w:p>
    <w:p>
      <w:pPr>
        <w:spacing w:after="120" w:line="259" w:lineRule="auto"/>
      </w:pPr>
      <w:r>
        <w:t>Die Ermittlungsakte enthält bereits mehrere belastende Indizien, aber bei einzelnen Beweismitteln fehlen Rohdaten, Sicherungsvermerke oder Anschlussvernehmungen.</w:t>
      </w:r>
    </w:p>
    <w:p>
      <w:pPr>
        <w:spacing w:after="120" w:line="259" w:lineRule="auto"/>
      </w:pPr>
      <w:r>
        <w:t>Für eine gerichtsfeste Bearbeitung müssen Blattstellen, Dateiherkunft und Beweisrichtung nachgetragen werden. Jede spätere Stellungnahme sollte sichtbar machen, was bewiesen ist, was nur behauptet wird und was noch aufgeklärt werden muss.</w:t>
      </w:r>
    </w:p>
    <w:p>
      <w:pPr>
        <w:pStyle w:val="Heading2"/>
      </w:pPr>
      <w:r>
        <w:t>Beweismittelübersicht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Spalte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2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3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4</w:t>
            </w:r>
          </w:p>
        </w:tc>
      </w:tr>
      <w:tr>
        <w:tc>
          <w:tcPr>
            <w:tcW w:type="dxa" w:w="2493"/>
            <w:vAlign w:val="top"/>
          </w:tcPr>
          <w:p>
            <w:r>
              <w:t>eAU-Rückmeldung</w:t>
            </w:r>
          </w:p>
        </w:tc>
        <w:tc>
          <w:tcPr>
            <w:tcW w:type="dxa" w:w="2493"/>
            <w:vAlign w:val="top"/>
          </w:tcPr>
          <w:p>
            <w:r>
              <w:t>Krankenkasse Bremen</w:t>
            </w:r>
          </w:p>
        </w:tc>
        <w:tc>
          <w:tcPr>
            <w:tcW w:type="dxa" w:w="2493"/>
            <w:vAlign w:val="top"/>
          </w:tcPr>
          <w:p>
            <w:r>
              <w:t>kein Treffer für Anfangszeitraum</w:t>
            </w:r>
          </w:p>
        </w:tc>
        <w:tc>
          <w:tcPr>
            <w:tcW w:type="dxa" w:w="2493"/>
            <w:vAlign w:val="top"/>
          </w:tcPr>
          <w:p>
            <w:r>
              <w:t>spätere Korrektur möglich</w:t>
            </w:r>
          </w:p>
        </w:tc>
      </w:tr>
      <w:tr>
        <w:tc>
          <w:tcPr>
            <w:tcW w:type="dxa" w:w="2493"/>
            <w:vAlign w:val="top"/>
          </w:tcPr>
          <w:p>
            <w:r>
              <w:t>Praxissoftware</w:t>
            </w:r>
          </w:p>
        </w:tc>
        <w:tc>
          <w:tcPr>
            <w:tcW w:type="dxa" w:w="2493"/>
            <w:vAlign w:val="top"/>
          </w:tcPr>
          <w:p>
            <w:r>
              <w:t>Dr. Twardon</w:t>
            </w:r>
          </w:p>
        </w:tc>
        <w:tc>
          <w:tcPr>
            <w:tcW w:type="dxa" w:w="2493"/>
            <w:vAlign w:val="top"/>
          </w:tcPr>
          <w:p>
            <w:r>
              <w:t>Termin erst 06.02.</w:t>
            </w:r>
          </w:p>
        </w:tc>
        <w:tc>
          <w:tcPr>
            <w:tcW w:type="dxa" w:w="2493"/>
            <w:vAlign w:val="top"/>
          </w:tcPr>
          <w:p>
            <w:r>
              <w:t>Telefonnotiz 03.02. vorhanden</w:t>
            </w:r>
          </w:p>
        </w:tc>
      </w:tr>
      <w:tr>
        <w:tc>
          <w:tcPr>
            <w:tcW w:type="dxa" w:w="2493"/>
            <w:vAlign w:val="top"/>
          </w:tcPr>
          <w:p>
            <w:r>
              <w:t>PDF-Metadaten</w:t>
            </w:r>
          </w:p>
        </w:tc>
        <w:tc>
          <w:tcPr>
            <w:tcW w:type="dxa" w:w="2493"/>
            <w:vAlign w:val="top"/>
          </w:tcPr>
          <w:p>
            <w:r>
              <w:t>Arbeitgeber-IT</w:t>
            </w:r>
          </w:p>
        </w:tc>
        <w:tc>
          <w:tcPr>
            <w:tcW w:type="dxa" w:w="2493"/>
            <w:vAlign w:val="top"/>
          </w:tcPr>
          <w:p>
            <w:r>
              <w:t>Bearbeitung Smartphone-App</w:t>
            </w:r>
          </w:p>
        </w:tc>
        <w:tc>
          <w:tcPr>
            <w:tcW w:type="dxa" w:w="2493"/>
            <w:vAlign w:val="top"/>
          </w:tcPr>
          <w:p>
            <w:r>
              <w:t>Scanoptimierung nicht ausgeschlossen</w:t>
            </w:r>
          </w:p>
        </w:tc>
      </w:tr>
      <w:tr>
        <w:tc>
          <w:tcPr>
            <w:tcW w:type="dxa" w:w="2493"/>
            <w:vAlign w:val="top"/>
          </w:tcPr>
          <w:p>
            <w:r>
              <w:t>E-Mail Mandantin</w:t>
            </w:r>
          </w:p>
        </w:tc>
        <w:tc>
          <w:tcPr>
            <w:tcW w:type="dxa" w:w="2493"/>
            <w:vAlign w:val="top"/>
          </w:tcPr>
          <w:p>
            <w:r>
              <w:t>06.02.2026 18:42 Uhr</w:t>
            </w:r>
          </w:p>
        </w:tc>
        <w:tc>
          <w:tcPr>
            <w:tcW w:type="dxa" w:w="2493"/>
            <w:vAlign w:val="top"/>
          </w:tcPr>
          <w:p>
            <w:r>
              <w:t>Übersendung an Arbeitgeber</w:t>
            </w:r>
          </w:p>
        </w:tc>
        <w:tc>
          <w:tcPr>
            <w:tcW w:type="dxa" w:w="2493"/>
            <w:vAlign w:val="top"/>
          </w:tcPr>
          <w:p>
            <w:r>
              <w:t>keine Erklärung zur Bearbeitung</w:t>
            </w:r>
          </w:p>
        </w:tc>
      </w:tr>
      <w:tr>
        <w:tc>
          <w:tcPr>
            <w:tcW w:type="dxa" w:w="2493"/>
            <w:vAlign w:val="top"/>
          </w:tcPr>
          <w:p>
            <w:r>
              <w:t>Dienstplan</w:t>
            </w:r>
          </w:p>
        </w:tc>
        <w:tc>
          <w:tcPr>
            <w:tcW w:type="dxa" w:w="2493"/>
            <w:vAlign w:val="top"/>
          </w:tcPr>
          <w:p>
            <w:r>
              <w:t>Pflegedienst HanseCare</w:t>
            </w:r>
          </w:p>
        </w:tc>
        <w:tc>
          <w:tcPr>
            <w:tcW w:type="dxa" w:w="2493"/>
            <w:vAlign w:val="top"/>
          </w:tcPr>
          <w:p>
            <w:r>
              <w:t>Ausfälle und Lohnfortzahlung</w:t>
            </w:r>
          </w:p>
        </w:tc>
        <w:tc>
          <w:tcPr>
            <w:tcW w:type="dxa" w:w="2493"/>
            <w:vAlign w:val="top"/>
          </w:tcPr>
          <w:p>
            <w:r>
              <w:t>kein unmittelbarer Vermögensschaden beziffert</w:t>
            </w:r>
          </w:p>
        </w:tc>
      </w:tr>
    </w:tbl>
    <w:p/>
    <w:p>
      <w:pPr>
        <w:pStyle w:val="Heading2"/>
      </w:pPr>
      <w:r>
        <w:t>Normanker</w:t>
      </w:r>
    </w:p>
    <w:p>
      <w:pPr>
        <w:pStyle w:val="ListBullet"/>
      </w:pPr>
      <w:r>
        <w:t>Paragraf 267 StGB</w:t>
      </w:r>
    </w:p>
    <w:p>
      <w:pPr>
        <w:pStyle w:val="ListBullet"/>
      </w:pPr>
      <w:r>
        <w:t>Paragraf 263 StGB</w:t>
      </w:r>
    </w:p>
    <w:p>
      <w:pPr>
        <w:pStyle w:val="ListBullet"/>
      </w:pPr>
      <w:r>
        <w:t>Paragraf 153 StPO</w:t>
      </w:r>
    </w:p>
    <w:p>
      <w:pPr>
        <w:pStyle w:val="ListBullet"/>
      </w:pPr>
      <w:r>
        <w:t>Paragraf 153a StPO</w:t>
      </w:r>
    </w:p>
    <w:p>
      <w:pPr>
        <w:pStyle w:val="ListBullet"/>
      </w:pPr>
      <w:r>
        <w:t>Paragraf 147 StPO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Bremen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Bremen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Strafrichter Abteilung 95 | Staatsanwaltschaft Bremen, 95 Js 4402/26 · 95 Js 4402/26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