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Amtsgericht Bremen, Strafrichter Abteilung 95 | Staatsanwaltschaft Bremen, 95 Js 4402/26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mit der Verfahrensrolle und dem konkreten Arbeitsprodukt: Haft, Einstellung, Schutzantrag, Anklageprüfung, Hauptverhandlung oder Rechtsmittel.</w:t>
      </w:r>
    </w:p>
    <w:p>
      <w:pPr>
        <w:spacing w:after="120" w:line="259" w:lineRule="auto"/>
      </w:pPr>
      <w:r>
        <w:t>Danach werden Tatbestandsmerkmale, subjektiver Tatbestand und Beweisbarkeit getrennt. Eine plausible Verteidigungslinie ersetzt keinen Beweiswertvergleich; eine plausible Anklagehypothese ersetzt keine Lückenanalyse.</w:t>
      </w:r>
    </w:p>
    <w:p>
      <w:pPr>
        <w:pStyle w:val="ListBullet"/>
      </w:pPr>
      <w:r>
        <w:t>Normanker: Paragraf 267 StGB, Paragraf 263 StGB, Paragraf 153 StPO, Paragraf 153a StPO, Paragraf 147 StPO.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Original-eAU-Abfrage, Telefonnotiz der Praxis und Smartphone-Dateiverlauf sichern; zugleich Einstellung gegen geringe Auflage und arbeitsgerichtliche Schadensbegrenzung prüfen.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Bremen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Bremen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95 | Staatsanwaltschaft Bremen, 95 Js 4402/26 · 95 Js 4402/26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