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Sachverhalt und Chronologie</w:t>
      </w:r>
    </w:p>
    <w:p>
      <w:r>
        <w:rPr>
          <w:i/>
          <w:sz w:val="20"/>
        </w:rPr>
        <w:t>Amtsgericht Tiergarten, Strafrichter Abteilung 304 | Staatsanwaltschaft Berlin, 304 Js 1288/26</w:t>
      </w:r>
    </w:p>
    <w:p>
      <w:pPr>
        <w:pStyle w:val="Heading2"/>
      </w:pPr>
      <w:r>
        <w:t>Arbeitsfassung Sachverhalt</w:t>
      </w:r>
    </w:p>
    <w:p>
      <w:pPr>
        <w:spacing w:after="120" w:line="259" w:lineRule="auto"/>
      </w:pPr>
      <w:r>
        <w:t>Kemal Arslan soll mit seinem BMW 440i auf der Landsberger Allee stark beschleunigt, zwei Fahrzeuge rechts überholt und in einer Kurve die Kontrolle verloren haben. Das Fahrzeug prallte gegen einen Laternenmast und beschädigte ein geparktes Taxi. Der Fahrer entfernte sich zu Fuß, meldete sich aber am nächsten Morgen über seine Verteidigerin.</w:t>
      </w:r>
    </w:p>
    <w:p>
      <w:pPr>
        <w:spacing w:after="120" w:line="259" w:lineRule="auto"/>
      </w:pPr>
      <w:r>
        <w:t>Die Dashcam eines nachfolgenden Lieferwagens zeigt eine aggressive Fahrweise, jedoch keine sichtbare Konkurrenzfahrt. Die EDR-Daten weisen 128 km/h fünf Sekunden vor dem Aufprall aus. Arslan erklärt, er habe nach einem Streit mit seiner Partnerin emotional reagiert und sei nicht auf Höchstgeschwindigkeit aus gewesen. Er bestreitet, Verletzte bemerkt zu haben.</w:t>
      </w:r>
    </w:p>
    <w:p>
      <w:pPr>
        <w:spacing w:after="120" w:line="259" w:lineRule="auto"/>
      </w:pPr>
      <w:r>
        <w:t>Die Akte eignet sich für die genaue Abgrenzung von bloßer Geschwindigkeitsüberschreitung und Alleinrennen, für die Beweisverwertung privater Dashcam-Aufnahmen und für die Frage, ob sich die spätere Meldung noch mildernd auf Paragraf 142 StGB auswirkt.</w:t>
      </w:r>
    </w:p>
    <w:p>
      <w:pPr>
        <w:pStyle w:val="Heading2"/>
      </w:pPr>
      <w:r>
        <w:t>Zeitachse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Spalte 1</w:t>
            </w:r>
          </w:p>
        </w:tc>
        <w:tc>
          <w:tcPr>
            <w:tcW w:type="dxa" w:w="4986"/>
          </w:tcPr>
          <w:p>
            <w:r>
              <w:rPr>
                <w:b/>
              </w:rPr>
              <w:t>Spalte 2</w:t>
            </w:r>
          </w:p>
        </w:tc>
      </w:tr>
      <w:tr>
        <w:tc>
          <w:tcPr>
            <w:tcW w:type="dxa" w:w="4986"/>
            <w:vAlign w:val="top"/>
          </w:tcPr>
          <w:p>
            <w:r>
              <w:t>22.05.2026</w:t>
            </w:r>
          </w:p>
        </w:tc>
        <w:tc>
          <w:tcPr>
            <w:tcW w:type="dxa" w:w="4986"/>
            <w:vAlign w:val="top"/>
          </w:tcPr>
          <w:p>
            <w:r>
              <w:t>Unfall an der Landsberger Allee kurz nach 23 Uhr</w:t>
            </w:r>
          </w:p>
        </w:tc>
      </w:tr>
      <w:tr>
        <w:tc>
          <w:tcPr>
            <w:tcW w:type="dxa" w:w="4986"/>
            <w:vAlign w:val="top"/>
          </w:tcPr>
          <w:p>
            <w:r>
              <w:t>23.05.2026</w:t>
            </w:r>
          </w:p>
        </w:tc>
        <w:tc>
          <w:tcPr>
            <w:tcW w:type="dxa" w:w="4986"/>
            <w:vAlign w:val="top"/>
          </w:tcPr>
          <w:p>
            <w:r>
              <w:t>Fahrzeug BMW 440i in Tiefgarage gesichert</w:t>
            </w:r>
          </w:p>
        </w:tc>
      </w:tr>
      <w:tr>
        <w:tc>
          <w:tcPr>
            <w:tcW w:type="dxa" w:w="4986"/>
            <w:vAlign w:val="top"/>
          </w:tcPr>
          <w:p>
            <w:r>
              <w:t>26.05.2026</w:t>
            </w:r>
          </w:p>
        </w:tc>
        <w:tc>
          <w:tcPr>
            <w:tcW w:type="dxa" w:w="4986"/>
            <w:vAlign w:val="top"/>
          </w:tcPr>
          <w:p>
            <w:r>
              <w:t>vorläufige Entziehung der Fahrerlaubnis beantragt</w:t>
            </w:r>
          </w:p>
        </w:tc>
      </w:tr>
      <w:tr>
        <w:tc>
          <w:tcPr>
            <w:tcW w:type="dxa" w:w="4986"/>
            <w:vAlign w:val="top"/>
          </w:tcPr>
          <w:p>
            <w:r>
              <w:t>05.06.2026</w:t>
            </w:r>
          </w:p>
        </w:tc>
        <w:tc>
          <w:tcPr>
            <w:tcW w:type="dxa" w:w="4986"/>
            <w:vAlign w:val="top"/>
          </w:tcPr>
          <w:p>
            <w:r>
              <w:t>EDR-Auslesung und Dashcam-Auswertung</w:t>
            </w:r>
          </w:p>
        </w:tc>
      </w:tr>
      <w:tr>
        <w:tc>
          <w:tcPr>
            <w:tcW w:type="dxa" w:w="4986"/>
            <w:vAlign w:val="top"/>
          </w:tcPr>
          <w:p>
            <w:r>
              <w:t>24.06.2026</w:t>
            </w:r>
          </w:p>
        </w:tc>
        <w:tc>
          <w:tcPr>
            <w:tcW w:type="dxa" w:w="4986"/>
            <w:vAlign w:val="top"/>
          </w:tcPr>
          <w:p>
            <w:r>
              <w:t>Beschwerdefrist gegen Beschluss geprüft</w:t>
            </w:r>
          </w:p>
        </w:tc>
      </w:tr>
      <w:tr>
        <w:tc>
          <w:tcPr>
            <w:tcW w:type="dxa" w:w="4986"/>
            <w:vAlign w:val="top"/>
          </w:tcPr>
          <w:p>
            <w:r>
              <w:t>11.08.2026</w:t>
            </w:r>
          </w:p>
        </w:tc>
        <w:tc>
          <w:tcPr>
            <w:tcW w:type="dxa" w:w="4986"/>
            <w:vAlign w:val="top"/>
          </w:tcPr>
          <w:p>
            <w:r>
              <w:t>Hauptverhandlungstermin angefragt</w:t>
            </w:r>
          </w:p>
        </w:tc>
      </w:tr>
    </w:tbl>
    <w:p/>
    <w:p>
      <w:pPr>
        <w:pStyle w:val="Heading2"/>
      </w:pPr>
      <w:r>
        <w:t>Noch offene Widersprüche</w:t>
      </w:r>
    </w:p>
    <w:p>
      <w:pPr>
        <w:pStyle w:val="ListBullet"/>
      </w:pPr>
      <w:r>
        <w:t>Welche Aussage ist unmittelbare Wahrnehmung und welche nur Schlussfolgerung?</w:t>
      </w:r>
    </w:p>
    <w:p>
      <w:pPr>
        <w:pStyle w:val="ListBullet"/>
      </w:pPr>
      <w:r>
        <w:t>Ist der technische Befund zeitlich eindeutig der behaupteten Handlung zuzuordnen?</w:t>
      </w:r>
    </w:p>
    <w:p>
      <w:pPr>
        <w:pStyle w:val="ListBullet"/>
      </w:pPr>
      <w:r>
        <w:t>Gibt es alternative, aktenkundige Erklärungen für das belastende Indiz?</w:t>
      </w:r>
    </w:p>
    <w:p>
      <w:pPr>
        <w:pStyle w:val="ListBullet"/>
      </w:pPr>
      <w:r>
        <w:t>Sind Frist und Zustellung dokumentiert oder nur mündlich mitgeteilt?</w:t>
      </w:r>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Tiergarten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Tiergarten</w:t>
    </w:r>
  </w:p>
  <w:p>
    <w:pPr>
      <w:jc w:val="left"/>
      <w:pBdr>
        <w:bottom w:val="single" w:sz="6" w:space="2" w:color="3B3F45"/>
      </w:pBdr>
    </w:pPr>
    <w:r>
      <w:rPr>
        <w:rFonts w:ascii="Times New Roman" w:hAnsi="Times New Roman"/>
        <w:color w:val="6B6B66"/>
        <w:sz w:val="16"/>
      </w:rPr>
      <w:t>Strafrichter Abteilung 304 | Staatsanwaltschaft Berlin, 304 Js 1288/26 · 304 Js 1288/26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