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Durchsuchungsbericht des Polizeipräsidiums Mannheim vom 25. November 2025</w:t>
      </w:r>
    </w:p>
    <w:p>
      <w:pPr>
        <w:jc w:val="left"/>
      </w:pPr>
      <w:r>
        <w:rPr>
          <w:b/>
        </w:rPr>
        <w:t>Polizeipräsidium Mannheim</w:t>
      </w:r>
    </w:p>
    <w:p>
      <w:pPr>
        <w:jc w:val="left"/>
      </w:pPr>
      <w:r>
        <w:t>Kriminalpolizeidirektion, Dezernat Wirtschaftskriminalität</w:t>
      </w:r>
    </w:p>
    <w:p>
      <w:pPr>
        <w:jc w:val="left"/>
      </w:pPr>
      <w:r>
        <w:t>L 6, 1, 68161 Mannheim</w:t>
      </w:r>
    </w:p>
    <w:p>
      <w:pPr>
        <w:jc w:val="left"/>
      </w:pPr>
      <w:r>
        <w:t>Telefon: 0621 174-0</w:t>
      </w:r>
    </w:p>
    <w:p>
      <w:pPr>
        <w:jc w:val="left"/>
      </w:pPr>
      <w:r>
        <w:rPr>
          <w:b/>
        </w:rPr>
        <w:t>Tgb.-Nr.:</w:t>
      </w:r>
      <w:r>
        <w:t xml:space="preserve"> ST/0331207/2025 | </w:t>
      </w:r>
      <w:r>
        <w:rPr>
          <w:b/>
        </w:rPr>
        <w:t>Js-Az.:</w:t>
      </w:r>
      <w:r>
        <w:t xml:space="preserve"> 616 Js 20481/25 StA Mannheim</w:t>
      </w:r>
    </w:p>
    <w:p>
      <w:pPr>
        <w:jc w:val="left"/>
      </w:pPr>
      <w:r>
        <w:t>Mannheim, den 25. November 2025</w:t>
      </w:r>
    </w:p>
    <w:p>
      <w:pPr>
        <w:jc w:val="left"/>
      </w:pPr>
      <w:r>
        <w:rPr>
          <w:b/>
        </w:rPr>
        <w:t>An die Staatsanwaltschaft Mannheim, Oberstaatsanwalt Dr. Vogelsang</w:t>
      </w:r>
    </w:p>
    <w:p>
      <w:pPr>
        <w:jc w:val="left"/>
      </w:pPr>
      <w:r>
        <w:rPr>
          <w:b/>
        </w:rPr>
        <w:t>Betreff: Vollzug des Durchsuchungsbeschlusses des AG Mannheim vom 10.11.2025 (42 Gs 3117/25) am 18.11.2025; Bericht und erste Auswertung</w:t>
      </w:r>
    </w:p>
    <w:p>
      <w:pPr>
        <w:jc w:val="left"/>
      </w:pPr>
      <w:r>
        <w:t>Bl. 102–109 d. A.</w:t>
      </w:r>
    </w:p>
    <w:p>
      <w:pPr>
        <w:pStyle w:val="Heading2"/>
      </w:pPr>
      <w:r>
        <w:rPr>
          <w:rFonts w:ascii="Times New Roman" w:hAnsi="Times New Roman"/>
        </w:rPr>
        <w:t>1 Ablauf der Durchsuchung</w:t>
      </w:r>
    </w:p>
    <w:p>
      <w:pPr>
        <w:jc w:val="left"/>
      </w:pPr>
      <w:r>
        <w:t>Der Beschluss wurde am 18. November 2025 ab 7:05 Uhr zeitgleich an beiden Objekten vollzogen. Der Beschuldigte war am Betriebssitz anwesend, ließ die Maßnahme nach Aushändigung der Beschlussabschrift widerspruchslos zu und verweigerte Angaben zur Sache unter Verweis auf eine noch zu beauftragende Verteidigung. Die Pflegedienstleiterin Marion Wanka war anwesend und benannte auf Befragen die Ablageorte der Tourenpläne. Die Durchsuchung wurde um 13:40 Uhr (Betriebssitz) beziehungsweise 9:55 Uhr (Wohnung) beendet; Sicherstellungsverzeichnisse wurden ausgehändigt.</w:t>
      </w:r>
    </w:p>
    <w:p>
      <w:pPr>
        <w:pStyle w:val="Heading2"/>
      </w:pPr>
      <w:r>
        <w:rPr>
          <w:rFonts w:ascii="Times New Roman" w:hAnsi="Times New Roman"/>
        </w:rPr>
        <w:t>2 Sichergestellte Beweismittel (Auszug aus dem Asservatenverzeichnis)</w:t>
      </w:r>
    </w:p>
    <w:p>
      <w:pPr>
        <w:jc w:val="left"/>
      </w:pPr>
      <w:r>
        <w:t>Asservat 1.1: Ordner "Leistungsnachweise 2023" (12 Stück) und "Leistungsnachweise 2024" (12 Stück). Asservat 1.4: Tourenplan-Ordner 2023/2024. Asservat 1.7: Server des Pflegedienstes (Image gefertigt, Original verblieb nach § 110 StPO im Betrieb). Asservat 1.9: dienstliches E-Mail-Postfach-Export (darunter E-Mail der Pflegedienstleiterin Wanka an den Beschuldigten vom 4. Juni 2024). Asservat 2.1: Mobiltelefon des Beschuldigten (iPhone 14, entsperrt herausgegeben); WhatsApp-Verlauf mit der Pflegedienstleiterin gesichert. Asservat 2.3: Kontoauszüge Geschäftskonto Sparkasse Rhein Neckar Nord und Privatkonto; Überweisungsreihe an Silvia Trautwein.</w:t>
      </w:r>
    </w:p>
    <w:p>
      <w:pPr>
        <w:pStyle w:val="Heading2"/>
      </w:pPr>
      <w:r>
        <w:rPr>
          <w:rFonts w:ascii="Times New Roman" w:hAnsi="Times New Roman"/>
        </w:rPr>
        <w:t>3 Erste Auswertungsergebnisse</w:t>
      </w:r>
    </w:p>
    <w:p>
      <w:pPr>
        <w:jc w:val="left"/>
      </w:pPr>
      <w:r>
        <w:t>3.1 Der Abgleich der Kassenabrechnungen mit den Tourenplänen bestätigt die Differenz von 3.439 abgerechneten, aber nicht dokumentiert gefahrenen Einsätzen (Vergütungsvolumen 412.680,00 EUR); auf die als Anlagen beigefügten Übersichten (Abrechnungs- und Tourenplandaten) wird verwiesen.</w:t>
      </w:r>
    </w:p>
    <w:p>
      <w:pPr>
        <w:jc w:val="left"/>
      </w:pPr>
      <w:r>
        <w:t xml:space="preserve">3.2 Die vom Flottendienstleister FleetTrack Süd GmbH übermittelten GPS-Daten wurden stichprobenartig gegen die Abrechnungstage gestellt. Exemplarisch ergibt sich für den 14. und 15. Mai 2024 sowie den 3. Juni 2024: Die Fahrzeuge MA-PS 214 und MA-PS 215 standen an allen drei Tagen durchgehend mit ausgeschalteter Zündung am Betriebssitz Rheingoldstraße 48 (Tageskilometerstand jeweils 0 km); lediglich MA-PS 216 fuhr die Tour Nord. Gleichwohl wurden für diese drei Tage nach den Einzelnachweisen der Kassen insgesamt 77 Einsätze abgerechnet, von denen nur 30 der Tour Nord zuzuordnen sind. </w:t>
      </w:r>
      <w:r>
        <w:rPr>
          <w:b/>
        </w:rPr>
        <w:t>47 abgerechnete Einsätze</w:t>
      </w:r>
      <w:r>
        <w:t xml:space="preserve"> (16 am 14.05.2024, 17 am 15.05.2024, 14 am 03.06.2024) sind mit dem dokumentierten Fahrzeugstillstand nicht vereinbar; die betroffenen Patienten wohnen zwischen 6 und 14 km vom Betriebssitz entfernt und sind fußläufig nicht erreichbar.</w:t>
      </w:r>
    </w:p>
    <w:p>
      <w:pPr>
        <w:jc w:val="left"/>
      </w:pPr>
      <w:r>
        <w:t>3.3 Vom Geschäftskonto wurden von Januar 2024 bis zum Durchsuchungstag monatlich 2.750,00 EUR mit dem Verwendungszweck "Bürotätigkeit/Verwaltung" auf das Einzelkonto der Ehefrau Silvia Trautwein überwiesen. Ein Arbeitsvertrag wurde nicht aufgefunden; die Ehefrau ist im Dienstplan an keiner Stelle erfasst und war nach übereinstimmenden Angaben zweier Mitarbeiterinnen im Betrieb nie tätig.</w:t>
      </w:r>
    </w:p>
    <w:p>
      <w:pPr>
        <w:pStyle w:val="Heading2"/>
      </w:pPr>
      <w:r>
        <w:rPr>
          <w:rFonts w:ascii="Times New Roman" w:hAnsi="Times New Roman"/>
        </w:rPr>
        <w:t>4 Weiteres Vorgehen</w:t>
      </w:r>
    </w:p>
    <w:p>
      <w:pPr>
        <w:jc w:val="left"/>
      </w:pPr>
      <w:r>
        <w:t>Vernehmung der früheren Pflegekraft Kalinowska ist für den 9. Dezember 2025 terminiert; die Beschuldigtenvernehmung wird über die zwischenzeitlich bestellte Verteidigerin abgestimmt. Vorschlag: Beantragung eines Vermögensarrests, gesonderter Bericht folgt.</w:t>
      </w:r>
    </w:p>
    <w:p>
      <w:pPr>
        <w:jc w:val="left"/>
      </w:pPr>
      <w:r>
        <w:t>Nowotny</w:t>
      </w:r>
    </w:p>
    <w:p>
      <w:pPr>
        <w:jc w:val="left"/>
      </w:pPr>
      <w:r>
        <w:t>Kriminalhauptkommissarin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Oberstaatsanwalt Dr. Vogelsang · Az.: 616 Js 20481/25 StA Mannheim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